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55" w:rsidRDefault="007A2F55">
      <w:pPr>
        <w:rPr>
          <w:rFonts w:ascii="Calibri" w:hAnsi="Calibri"/>
          <w:b/>
          <w:noProof/>
          <w:sz w:val="24"/>
          <w:szCs w:val="24"/>
          <w:lang w:eastAsia="cs-CZ"/>
        </w:rPr>
      </w:pPr>
      <w:bookmarkStart w:id="0" w:name="_GoBack"/>
      <w:bookmarkEnd w:id="0"/>
      <w:r w:rsidRPr="00551F99">
        <w:rPr>
          <w:rFonts w:ascii="Calibri" w:hAnsi="Calibri"/>
          <w:b/>
          <w:noProof/>
          <w:sz w:val="24"/>
          <w:szCs w:val="24"/>
          <w:lang w:eastAsia="cs-CZ"/>
        </w:rPr>
        <w:t>Výsledek hospodaření SMCH k 31.12.201</w:t>
      </w:r>
      <w:r w:rsidR="004B3B2E" w:rsidRPr="00551F99">
        <w:rPr>
          <w:rFonts w:ascii="Calibri" w:hAnsi="Calibri"/>
          <w:b/>
          <w:noProof/>
          <w:sz w:val="24"/>
          <w:szCs w:val="24"/>
          <w:lang w:eastAsia="cs-CZ"/>
        </w:rPr>
        <w:t>9</w:t>
      </w:r>
    </w:p>
    <w:p w:rsidR="00FF73DD" w:rsidRDefault="00FF73DD"/>
    <w:p w:rsidR="00FF73DD" w:rsidRDefault="00FF73DD" w:rsidP="00FF73DD">
      <w:pPr>
        <w:jc w:val="both"/>
      </w:pPr>
      <w:r w:rsidRPr="00FF73DD">
        <w:t xml:space="preserve">Výsledek hospodaření města v roce 2019 předčil o 126 milionů korun očekávání V roce 2019 dosáhly celkové příjmy rozpočtu města 1 297,2 milionů korun, celkové výdaje 1 231,3 milionů korun, čímž hospodaření města skončilo s přebytkem ve výši 65,9 milionů korun. V průběhu roku se tak podařilo nejen zcela vymazat deficit schváleného rozpočtu ve výši 60,0 milionů korun, ale i naspořit poměrně velký objem volných prostředků pro budoucí využití. Dosažený výsledek tak představuje o plných 126 milionů lepší hospodaření než plán, se kterým do roku 2019 město vstupovalo. Rámce stanovené zastupitelstvem města tak byly naplněny a významně překonány. Výsledek lze hodnotit jako jeden z nejlepších v historii města, protože není zkreslený velkými dotačními transfery. </w:t>
      </w:r>
    </w:p>
    <w:p w:rsidR="00FF73DD" w:rsidRDefault="00FF73DD" w:rsidP="00FF73DD">
      <w:pPr>
        <w:jc w:val="both"/>
      </w:pPr>
      <w:r w:rsidRPr="00FF73DD">
        <w:t xml:space="preserve">V roce 2019 nedošlo k úplnému naplnění příjmové stránky rozpočtu města, kde skutečnost je o 2% nižší než upravený rozpočet, naopak na výdajové stránce rozpočtu města se městu podařilo uspořit přes 11% svých pánovaných výdajů. </w:t>
      </w:r>
    </w:p>
    <w:p w:rsidR="00FF73DD" w:rsidRDefault="00FF73DD" w:rsidP="00FF73DD">
      <w:pPr>
        <w:jc w:val="both"/>
      </w:pPr>
      <w:r w:rsidRPr="00FF73DD">
        <w:t xml:space="preserve">Samotné provozní hospodaření města skončilo dokonce s přebytkem 217,8 milionů korun, který se postaral o dokrytí deficitu kapitálového rozpočtu a navíc umazal plánovaný deficit a ještě vytvořil velmi slušný výsledek hospodaření. </w:t>
      </w:r>
    </w:p>
    <w:p w:rsidR="00FF73DD" w:rsidRDefault="00FF73DD" w:rsidP="00FF73DD">
      <w:pPr>
        <w:jc w:val="both"/>
      </w:pPr>
      <w:r w:rsidRPr="00FF73DD">
        <w:t xml:space="preserve">V roce 2019 vydalo město na investiční akce a rozvojové projekty plných 285 milionů korun. Investiční rozpočet byl splněn na 91,8 % a do roku 2020 přešly pouze 4 nedokončené investiční akce. Toto je rovněž v dlouhodobé historii zcela nevídanou věcí, kdy čerpání investičního zpravidla nedosahovalo 60% plánu. </w:t>
      </w:r>
    </w:p>
    <w:p w:rsidR="00FF73DD" w:rsidRPr="00FF73DD" w:rsidRDefault="00FF73DD" w:rsidP="00FF73DD">
      <w:pPr>
        <w:jc w:val="both"/>
        <w:rPr>
          <w:rFonts w:ascii="Calibri" w:hAnsi="Calibri"/>
          <w:b/>
          <w:noProof/>
          <w:lang w:eastAsia="cs-CZ"/>
        </w:rPr>
      </w:pPr>
      <w:r w:rsidRPr="00FF73DD">
        <w:t>Současně došlo v roce 2019 ke snížení dluhové zátěže, kdy město z běžných příjmů splatilo dalších 49,2 milionů korun, čímž nemuselo v rámci třídy financování zapojovat prostředky z let minulých, se kterými na splátky úvěru počítalo a tyto mohou být i dále zhodnocovány a v budoucnu využity na jiné rozvojové priority města. Celková splatnost úvěru je v roce 2023. Pokud by tedy úvěr nebyl hrazen z provozních úspor, ale z prostředků z let minulých, které má město na splátky úvěru alokovány, byl by výsledek hospodaření o 49,2 milionu lepší a hospodaření města v roce 2019 by předčilo očekávání o plných 173,1 milionů korun. Správa aktiv vydělala městu dalších 8,9 milionů korun</w:t>
      </w:r>
      <w:r w:rsidR="004A3C20">
        <w:t>.</w:t>
      </w:r>
    </w:p>
    <w:p w:rsidR="007A2F55" w:rsidRDefault="007A2F55">
      <w:pPr>
        <w:rPr>
          <w:rFonts w:ascii="Calibri" w:hAnsi="Calibri"/>
          <w:b/>
          <w:noProof/>
          <w:sz w:val="24"/>
          <w:szCs w:val="24"/>
          <w:lang w:eastAsia="cs-CZ"/>
        </w:rPr>
      </w:pPr>
    </w:p>
    <w:p w:rsidR="002E3B3F" w:rsidRDefault="00551F99">
      <w:r w:rsidRPr="000D69CB">
        <w:rPr>
          <w:noProof/>
          <w:lang w:eastAsia="cs-CZ"/>
        </w:rPr>
        <w:lastRenderedPageBreak/>
        <w:drawing>
          <wp:inline distT="0" distB="0" distL="0" distR="0">
            <wp:extent cx="5760567" cy="359003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93"/>
                    <a:stretch/>
                  </pic:blipFill>
                  <pic:spPr bwMode="auto">
                    <a:xfrm>
                      <a:off x="0" y="0"/>
                      <a:ext cx="5760720" cy="359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69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4680"/>
        <w:gridCol w:w="1840"/>
      </w:tblGrid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rPr>
                <w:i/>
                <w:iCs/>
                <w:lang w:eastAsia="cs-CZ"/>
              </w:rPr>
            </w:pPr>
            <w:r w:rsidRPr="000D69CB">
              <w:rPr>
                <w:i/>
                <w:iCs/>
                <w:lang w:eastAsia="cs-CZ"/>
              </w:rPr>
              <w:t> 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i/>
                <w:iCs/>
                <w:lang w:eastAsia="cs-CZ"/>
              </w:rPr>
            </w:pPr>
            <w:r w:rsidRPr="00666A62">
              <w:rPr>
                <w:rFonts w:ascii="Calibri" w:hAnsi="Calibri"/>
                <w:i/>
                <w:iCs/>
                <w:lang w:eastAsia="cs-CZ"/>
              </w:rPr>
              <w:t>Název položky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jc w:val="center"/>
              <w:rPr>
                <w:rFonts w:ascii="Calibri" w:hAnsi="Calibri"/>
                <w:b/>
                <w:i/>
                <w:iCs/>
                <w:lang w:eastAsia="cs-CZ"/>
              </w:rPr>
            </w:pPr>
            <w:r w:rsidRPr="00666A62">
              <w:rPr>
                <w:rFonts w:ascii="Calibri" w:hAnsi="Calibri"/>
                <w:b/>
                <w:i/>
                <w:iCs/>
                <w:lang w:eastAsia="cs-CZ"/>
              </w:rPr>
              <w:t>2019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noWrap/>
            <w:vAlign w:val="bottom"/>
            <w:hideMark/>
          </w:tcPr>
          <w:p w:rsidR="00551F99" w:rsidRPr="000D69CB" w:rsidRDefault="00551F99" w:rsidP="007052A8">
            <w:pPr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NÁKLADY CELKEM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/>
            <w:noWrap/>
            <w:vAlign w:val="bottom"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3 937 317 361,58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jc w:val="right"/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I.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Náklady z činnosti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523 106 636,76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jc w:val="right"/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II.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Finanční náklady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2 935 867 453,98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jc w:val="right"/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III.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Náklady na transfery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465 991 560,84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jc w:val="right"/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V.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Daň z příjmů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12 351 710,00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noWrap/>
            <w:vAlign w:val="bottom"/>
            <w:hideMark/>
          </w:tcPr>
          <w:p w:rsidR="00551F99" w:rsidRPr="000D69CB" w:rsidRDefault="00551F99" w:rsidP="007052A8">
            <w:pPr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VÝNOSY CELKEM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4 100 502 597,51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jc w:val="right"/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I.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Výnosy z činnosti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196 755 731,34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jc w:val="right"/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II.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Finanční výnosy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2 959 671 833,65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jc w:val="right"/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IV.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Výnosy z transferů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125 068 771,21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jc w:val="right"/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V.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Výnosy ze sdílených daní a poplatků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819 006 261,31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/>
            <w:noWrap/>
            <w:vAlign w:val="bottom"/>
            <w:hideMark/>
          </w:tcPr>
          <w:p w:rsidR="00551F99" w:rsidRPr="000D69CB" w:rsidRDefault="00551F99" w:rsidP="007052A8">
            <w:pPr>
              <w:rPr>
                <w:b/>
                <w:bCs/>
                <w:lang w:eastAsia="cs-CZ"/>
              </w:rPr>
            </w:pPr>
            <w:r w:rsidRPr="000D69CB">
              <w:rPr>
                <w:b/>
                <w:bCs/>
                <w:lang w:eastAsia="cs-CZ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VÝSLEDEK HOSPODAŘENÍ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 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jc w:val="right"/>
              <w:rPr>
                <w:lang w:eastAsia="cs-CZ"/>
              </w:rPr>
            </w:pPr>
            <w:r w:rsidRPr="000D69CB">
              <w:rPr>
                <w:lang w:eastAsia="cs-CZ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lang w:eastAsia="cs-CZ"/>
              </w:rPr>
            </w:pPr>
            <w:r w:rsidRPr="00666A62">
              <w:rPr>
                <w:rFonts w:ascii="Calibri" w:hAnsi="Calibri"/>
                <w:lang w:eastAsia="cs-CZ"/>
              </w:rPr>
              <w:t>Výsledek hospodaření před zdaněním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175 536 945,93</w:t>
            </w:r>
          </w:p>
        </w:tc>
      </w:tr>
      <w:tr w:rsidR="00551F99" w:rsidRPr="00666A62" w:rsidTr="00551F99">
        <w:trPr>
          <w:trHeight w:val="30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0D69CB" w:rsidRDefault="00551F99" w:rsidP="007052A8">
            <w:pPr>
              <w:jc w:val="right"/>
              <w:rPr>
                <w:lang w:eastAsia="cs-CZ"/>
              </w:rPr>
            </w:pPr>
            <w:r w:rsidRPr="000D69CB">
              <w:rPr>
                <w:lang w:eastAsia="cs-CZ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  <w:bCs/>
                <w:lang w:eastAsia="cs-CZ"/>
              </w:rPr>
              <w:t>Výsledek hospodaření běžného účetního období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F99" w:rsidRPr="00666A62" w:rsidRDefault="00551F99" w:rsidP="007052A8">
            <w:pPr>
              <w:jc w:val="right"/>
              <w:rPr>
                <w:rFonts w:ascii="Calibri" w:hAnsi="Calibri"/>
                <w:b/>
                <w:bCs/>
                <w:lang w:eastAsia="cs-CZ"/>
              </w:rPr>
            </w:pPr>
            <w:r w:rsidRPr="00666A62">
              <w:rPr>
                <w:rFonts w:ascii="Calibri" w:hAnsi="Calibri"/>
                <w:b/>
              </w:rPr>
              <w:t>163 185 235,93</w:t>
            </w:r>
          </w:p>
        </w:tc>
      </w:tr>
    </w:tbl>
    <w:p w:rsidR="007A2F55" w:rsidRDefault="007A2F55" w:rsidP="00551F99"/>
    <w:p w:rsidR="00700B4D" w:rsidRDefault="00700B4D" w:rsidP="00551F99"/>
    <w:p w:rsidR="00700B4D" w:rsidRDefault="00700B4D" w:rsidP="00551F99"/>
    <w:p w:rsidR="00700B4D" w:rsidRDefault="00700B4D" w:rsidP="00551F99"/>
    <w:p w:rsidR="00700B4D" w:rsidRPr="002243D6" w:rsidRDefault="00700B4D" w:rsidP="00700B4D">
      <w:pPr>
        <w:jc w:val="both"/>
        <w:rPr>
          <w:b/>
        </w:rPr>
      </w:pPr>
      <w:r w:rsidRPr="002243D6">
        <w:rPr>
          <w:b/>
        </w:rPr>
        <w:lastRenderedPageBreak/>
        <w:t>Hodnocení hospodaření města:</w:t>
      </w:r>
    </w:p>
    <w:p w:rsidR="00700B4D" w:rsidRDefault="00700B4D" w:rsidP="00700B4D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>
        <w:t xml:space="preserve">Ukazatel finančního zdraví:  </w:t>
      </w:r>
      <w:r>
        <w:tab/>
      </w:r>
      <w:r>
        <w:tab/>
      </w:r>
      <w:r>
        <w:tab/>
        <w:t xml:space="preserve">         </w:t>
      </w:r>
      <w:r w:rsidRPr="005D5A7B">
        <w:rPr>
          <w:b/>
        </w:rPr>
        <w:t xml:space="preserve">A </w:t>
      </w:r>
      <w:r w:rsidRPr="005D5A7B">
        <w:tab/>
      </w:r>
      <w:r>
        <w:tab/>
      </w:r>
      <w:r w:rsidRPr="005D5A7B">
        <w:t>(= vynikající</w:t>
      </w:r>
      <w:r>
        <w:t xml:space="preserve"> finanční zdraví).</w:t>
      </w:r>
    </w:p>
    <w:p w:rsidR="00700B4D" w:rsidRDefault="00700B4D" w:rsidP="00700B4D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>
        <w:t>Rating fi</w:t>
      </w:r>
      <w:r w:rsidR="002B3413">
        <w:t>nanční kondice města za rok 2019</w:t>
      </w:r>
      <w:r>
        <w:t xml:space="preserve">:  </w:t>
      </w:r>
      <w:r>
        <w:tab/>
        <w:t xml:space="preserve">         </w:t>
      </w:r>
      <w:r w:rsidRPr="005D5A7B">
        <w:rPr>
          <w:b/>
        </w:rPr>
        <w:t>A</w:t>
      </w:r>
      <w:r>
        <w:rPr>
          <w:b/>
        </w:rPr>
        <w:tab/>
      </w:r>
      <w:r>
        <w:rPr>
          <w:b/>
        </w:rPr>
        <w:tab/>
      </w:r>
      <w:r w:rsidRPr="005D5A7B">
        <w:t>(=</w:t>
      </w:r>
      <w:r>
        <w:t xml:space="preserve"> město má optimální finanční stabilitu, dostatečnou a přiměřenou investiční aktivitu)</w:t>
      </w:r>
    </w:p>
    <w:p w:rsidR="00700B4D" w:rsidRDefault="00700B4D" w:rsidP="00700B4D">
      <w:pPr>
        <w:pStyle w:val="Odstavecseseznamem"/>
        <w:numPr>
          <w:ilvl w:val="0"/>
          <w:numId w:val="1"/>
        </w:numPr>
        <w:contextualSpacing w:val="0"/>
        <w:jc w:val="both"/>
      </w:pPr>
      <w:r w:rsidRPr="002243D6">
        <w:t xml:space="preserve">Ukazatel </w:t>
      </w:r>
      <w:r>
        <w:t>d</w:t>
      </w:r>
      <w:r w:rsidRPr="002243D6">
        <w:t>luhové služ</w:t>
      </w:r>
      <w:r>
        <w:t>by</w:t>
      </w:r>
      <w:r>
        <w:tab/>
      </w:r>
      <w:r>
        <w:tab/>
      </w:r>
      <w:r>
        <w:tab/>
      </w:r>
      <w:r w:rsidR="002B3413">
        <w:rPr>
          <w:b/>
        </w:rPr>
        <w:t xml:space="preserve">  4,0</w:t>
      </w:r>
      <w:r w:rsidRPr="002243D6">
        <w:rPr>
          <w:b/>
        </w:rPr>
        <w:t>7 %</w:t>
      </w:r>
      <w:r w:rsidRPr="002243D6">
        <w:rPr>
          <w:b/>
        </w:rPr>
        <w:tab/>
      </w:r>
      <w:r>
        <w:tab/>
        <w:t>(max. 30%)</w:t>
      </w:r>
    </w:p>
    <w:p w:rsidR="00700B4D" w:rsidRDefault="00700B4D" w:rsidP="00700B4D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 w:rsidRPr="002243D6">
        <w:t>Pravidlo rozpočtové odpovědnosti</w:t>
      </w:r>
      <w:r>
        <w:t xml:space="preserve">: </w:t>
      </w:r>
      <w:r>
        <w:tab/>
      </w:r>
      <w:r>
        <w:tab/>
      </w:r>
      <w:r w:rsidRPr="002243D6">
        <w:rPr>
          <w:b/>
        </w:rPr>
        <w:t>1</w:t>
      </w:r>
      <w:r w:rsidR="002B3413">
        <w:rPr>
          <w:b/>
        </w:rPr>
        <w:t>4</w:t>
      </w:r>
      <w:r w:rsidRPr="002243D6">
        <w:rPr>
          <w:b/>
        </w:rPr>
        <w:t>,</w:t>
      </w:r>
      <w:r w:rsidR="002B3413">
        <w:rPr>
          <w:b/>
        </w:rPr>
        <w:t>5</w:t>
      </w:r>
      <w:r w:rsidRPr="002243D6">
        <w:rPr>
          <w:b/>
        </w:rPr>
        <w:t>3 %</w:t>
      </w:r>
      <w:r w:rsidRPr="002243D6">
        <w:rPr>
          <w:b/>
        </w:rPr>
        <w:tab/>
      </w:r>
      <w:r>
        <w:t>(max. 60%)</w:t>
      </w:r>
    </w:p>
    <w:p w:rsidR="00700B4D" w:rsidRDefault="00700B4D" w:rsidP="00700B4D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 w:rsidRPr="002243D6">
        <w:t>Podíl cizích zdrojů k celkovým aktivům</w:t>
      </w:r>
      <w:r>
        <w:t xml:space="preserve">: </w:t>
      </w:r>
      <w:r>
        <w:tab/>
      </w:r>
      <w:r>
        <w:tab/>
        <w:t xml:space="preserve">  </w:t>
      </w:r>
      <w:r w:rsidR="002B3413">
        <w:t>3</w:t>
      </w:r>
      <w:r w:rsidRPr="002243D6">
        <w:rPr>
          <w:b/>
        </w:rPr>
        <w:t>,</w:t>
      </w:r>
      <w:r w:rsidR="002B3413">
        <w:rPr>
          <w:b/>
        </w:rPr>
        <w:t>72</w:t>
      </w:r>
      <w:r>
        <w:rPr>
          <w:b/>
        </w:rPr>
        <w:t xml:space="preserve"> </w:t>
      </w:r>
      <w:r w:rsidRPr="002243D6">
        <w:rPr>
          <w:b/>
        </w:rPr>
        <w:t>%</w:t>
      </w:r>
      <w:r w:rsidRPr="002243D6">
        <w:rPr>
          <w:b/>
        </w:rPr>
        <w:tab/>
      </w:r>
      <w:r>
        <w:tab/>
        <w:t>(max. 25%)</w:t>
      </w:r>
    </w:p>
    <w:p w:rsidR="00700B4D" w:rsidRDefault="00700B4D" w:rsidP="00700B4D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>
        <w:t>Celková likvidita</w:t>
      </w:r>
      <w:r>
        <w:tab/>
      </w:r>
      <w:r>
        <w:tab/>
      </w:r>
      <w:r>
        <w:tab/>
      </w:r>
      <w:r>
        <w:tab/>
        <w:t xml:space="preserve">  </w:t>
      </w:r>
      <w:r w:rsidRPr="002243D6">
        <w:rPr>
          <w:b/>
        </w:rPr>
        <w:t>7,</w:t>
      </w:r>
      <w:r w:rsidR="002B3413">
        <w:rPr>
          <w:b/>
        </w:rPr>
        <w:t>01</w:t>
      </w:r>
      <w:r>
        <w:rPr>
          <w:b/>
        </w:rPr>
        <w:t xml:space="preserve"> </w:t>
      </w:r>
      <w:r w:rsidRPr="002243D6">
        <w:rPr>
          <w:b/>
        </w:rPr>
        <w:t>%</w:t>
      </w:r>
      <w:r w:rsidRPr="002243D6">
        <w:rPr>
          <w:b/>
        </w:rPr>
        <w:tab/>
      </w:r>
      <w:r>
        <w:tab/>
        <w:t>(</w:t>
      </w:r>
      <w:r w:rsidRPr="002243D6">
        <w:t>≠ &lt;0;1&gt;</w:t>
      </w:r>
      <w:r>
        <w:t>)</w:t>
      </w:r>
      <w:r>
        <w:tab/>
      </w:r>
    </w:p>
    <w:p w:rsidR="00700B4D" w:rsidRPr="002243D6" w:rsidRDefault="00700B4D" w:rsidP="00700B4D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>
        <w:rPr>
          <w:rFonts w:ascii="CIDFont+F3" w:hAnsi="CIDFont+F3" w:cs="CIDFont+F3"/>
          <w:sz w:val="20"/>
          <w:szCs w:val="20"/>
        </w:rPr>
        <w:t>Podíl pohledávek na rozpočtu</w:t>
      </w:r>
      <w:r>
        <w:rPr>
          <w:rFonts w:ascii="CIDFont+F3" w:hAnsi="CIDFont+F3" w:cs="CIDFont+F3"/>
          <w:sz w:val="20"/>
          <w:szCs w:val="20"/>
        </w:rPr>
        <w:tab/>
      </w:r>
      <w:r>
        <w:rPr>
          <w:rFonts w:ascii="CIDFont+F3" w:hAnsi="CIDFont+F3" w:cs="CIDFont+F3"/>
          <w:sz w:val="20"/>
          <w:szCs w:val="20"/>
        </w:rPr>
        <w:tab/>
      </w:r>
      <w:r>
        <w:rPr>
          <w:rFonts w:ascii="CIDFont+F3" w:hAnsi="CIDFont+F3" w:cs="CIDFont+F3"/>
          <w:sz w:val="20"/>
          <w:szCs w:val="20"/>
        </w:rPr>
        <w:tab/>
        <w:t xml:space="preserve">  </w:t>
      </w:r>
      <w:r w:rsidR="002B3413">
        <w:rPr>
          <w:rFonts w:ascii="CIDFont+F3" w:hAnsi="CIDFont+F3" w:cs="CIDFont+F3"/>
          <w:sz w:val="20"/>
          <w:szCs w:val="20"/>
        </w:rPr>
        <w:t>3</w:t>
      </w:r>
      <w:r w:rsidRPr="002243D6">
        <w:rPr>
          <w:rFonts w:ascii="CIDFont+F3" w:hAnsi="CIDFont+F3" w:cs="CIDFont+F3"/>
          <w:b/>
          <w:sz w:val="20"/>
          <w:szCs w:val="20"/>
        </w:rPr>
        <w:t>,</w:t>
      </w:r>
      <w:r w:rsidR="002B3413">
        <w:rPr>
          <w:rFonts w:ascii="CIDFont+F3" w:hAnsi="CIDFont+F3" w:cs="CIDFont+F3"/>
          <w:b/>
          <w:sz w:val="20"/>
          <w:szCs w:val="20"/>
        </w:rPr>
        <w:t>28</w:t>
      </w:r>
      <w:r w:rsidRPr="002243D6">
        <w:rPr>
          <w:rFonts w:ascii="CIDFont+F3" w:hAnsi="CIDFont+F3" w:cs="CIDFont+F3"/>
          <w:b/>
          <w:sz w:val="20"/>
          <w:szCs w:val="20"/>
        </w:rPr>
        <w:t xml:space="preserve"> %</w:t>
      </w:r>
      <w:r>
        <w:rPr>
          <w:rFonts w:ascii="CIDFont+F3" w:hAnsi="CIDFont+F3" w:cs="CIDFont+F3"/>
          <w:sz w:val="20"/>
          <w:szCs w:val="20"/>
        </w:rPr>
        <w:tab/>
        <w:t>(max. 50%)</w:t>
      </w:r>
    </w:p>
    <w:p w:rsidR="00700B4D" w:rsidRPr="002243D6" w:rsidRDefault="00700B4D" w:rsidP="00700B4D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>
        <w:rPr>
          <w:rFonts w:ascii="CIDFont+F3" w:hAnsi="CIDFont+F3" w:cs="CIDFont+F3"/>
          <w:sz w:val="20"/>
          <w:szCs w:val="20"/>
        </w:rPr>
        <w:t>Podíl závazků na rozpočtu</w:t>
      </w:r>
      <w:r>
        <w:rPr>
          <w:rFonts w:ascii="CIDFont+F3" w:hAnsi="CIDFont+F3" w:cs="CIDFont+F3"/>
          <w:sz w:val="20"/>
          <w:szCs w:val="20"/>
        </w:rPr>
        <w:tab/>
      </w:r>
      <w:r>
        <w:rPr>
          <w:rFonts w:ascii="CIDFont+F3" w:hAnsi="CIDFont+F3" w:cs="CIDFont+F3"/>
          <w:sz w:val="20"/>
          <w:szCs w:val="20"/>
        </w:rPr>
        <w:tab/>
      </w:r>
      <w:r>
        <w:rPr>
          <w:rFonts w:ascii="CIDFont+F3" w:hAnsi="CIDFont+F3" w:cs="CIDFont+F3"/>
          <w:sz w:val="20"/>
          <w:szCs w:val="20"/>
        </w:rPr>
        <w:tab/>
        <w:t xml:space="preserve">  </w:t>
      </w:r>
      <w:r w:rsidRPr="002243D6">
        <w:rPr>
          <w:rFonts w:ascii="CIDFont+F3" w:hAnsi="CIDFont+F3" w:cs="CIDFont+F3"/>
          <w:b/>
          <w:sz w:val="20"/>
          <w:szCs w:val="20"/>
        </w:rPr>
        <w:t>7,</w:t>
      </w:r>
      <w:r w:rsidR="002B3413">
        <w:rPr>
          <w:rFonts w:ascii="CIDFont+F3" w:hAnsi="CIDFont+F3" w:cs="CIDFont+F3"/>
          <w:b/>
          <w:sz w:val="20"/>
          <w:szCs w:val="20"/>
        </w:rPr>
        <w:t>5</w:t>
      </w:r>
      <w:r w:rsidRPr="002243D6">
        <w:rPr>
          <w:rFonts w:ascii="CIDFont+F3" w:hAnsi="CIDFont+F3" w:cs="CIDFont+F3"/>
          <w:b/>
          <w:sz w:val="20"/>
          <w:szCs w:val="20"/>
        </w:rPr>
        <w:t>1 %</w:t>
      </w:r>
      <w:r>
        <w:rPr>
          <w:rFonts w:ascii="CIDFont+F3" w:hAnsi="CIDFont+F3" w:cs="CIDFont+F3"/>
          <w:sz w:val="20"/>
          <w:szCs w:val="20"/>
        </w:rPr>
        <w:tab/>
        <w:t>(max. 50%)</w:t>
      </w:r>
    </w:p>
    <w:p w:rsidR="00700B4D" w:rsidRDefault="00700B4D" w:rsidP="00700B4D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  <w:rPr>
          <w:rFonts w:ascii="CIDFont+F3" w:hAnsi="CIDFont+F3" w:cs="CIDFont+F3"/>
          <w:sz w:val="18"/>
          <w:szCs w:val="18"/>
        </w:rPr>
      </w:pPr>
      <w:r>
        <w:rPr>
          <w:rFonts w:ascii="CIDFont+F3" w:hAnsi="CIDFont+F3" w:cs="CIDFont+F3"/>
          <w:sz w:val="18"/>
          <w:szCs w:val="18"/>
        </w:rPr>
        <w:t>Podíl zastaveného majetku na celkovém majetku</w:t>
      </w:r>
      <w:r>
        <w:rPr>
          <w:rFonts w:ascii="CIDFont+F3" w:hAnsi="CIDFont+F3" w:cs="CIDFont+F3"/>
          <w:sz w:val="18"/>
          <w:szCs w:val="18"/>
        </w:rPr>
        <w:tab/>
        <w:t xml:space="preserve">   </w:t>
      </w:r>
      <w:r w:rsidRPr="002243D6">
        <w:rPr>
          <w:rFonts w:ascii="CIDFont+F3" w:hAnsi="CIDFont+F3" w:cs="CIDFont+F3"/>
          <w:b/>
          <w:sz w:val="18"/>
          <w:szCs w:val="18"/>
        </w:rPr>
        <w:t>2,</w:t>
      </w:r>
      <w:r w:rsidR="002B3413">
        <w:rPr>
          <w:rFonts w:ascii="CIDFont+F3" w:hAnsi="CIDFont+F3" w:cs="CIDFont+F3"/>
          <w:b/>
          <w:sz w:val="18"/>
          <w:szCs w:val="18"/>
        </w:rPr>
        <w:t>39</w:t>
      </w:r>
      <w:r w:rsidRPr="002243D6">
        <w:rPr>
          <w:rFonts w:ascii="CIDFont+F3" w:hAnsi="CIDFont+F3" w:cs="CIDFont+F3"/>
          <w:b/>
          <w:sz w:val="18"/>
          <w:szCs w:val="18"/>
        </w:rPr>
        <w:t xml:space="preserve"> %</w:t>
      </w:r>
      <w:r>
        <w:rPr>
          <w:rFonts w:ascii="CIDFont+F3" w:hAnsi="CIDFont+F3" w:cs="CIDFont+F3"/>
          <w:sz w:val="18"/>
          <w:szCs w:val="18"/>
        </w:rPr>
        <w:tab/>
        <w:t>(max. 50%)</w:t>
      </w:r>
    </w:p>
    <w:p w:rsidR="00700B4D" w:rsidRDefault="00700B4D" w:rsidP="00551F99"/>
    <w:sectPr w:rsidR="00700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F55" w:rsidRDefault="007A2F55" w:rsidP="007A2F55">
      <w:pPr>
        <w:spacing w:after="0" w:line="240" w:lineRule="auto"/>
      </w:pPr>
      <w:r>
        <w:separator/>
      </w:r>
    </w:p>
  </w:endnote>
  <w:endnote w:type="continuationSeparator" w:id="0">
    <w:p w:rsidR="007A2F55" w:rsidRDefault="007A2F55" w:rsidP="007A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F55" w:rsidRDefault="007A2F55" w:rsidP="007A2F55">
      <w:pPr>
        <w:spacing w:after="0" w:line="240" w:lineRule="auto"/>
      </w:pPr>
      <w:r>
        <w:separator/>
      </w:r>
    </w:p>
  </w:footnote>
  <w:footnote w:type="continuationSeparator" w:id="0">
    <w:p w:rsidR="007A2F55" w:rsidRDefault="007A2F55" w:rsidP="007A2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93A85"/>
    <w:multiLevelType w:val="hybridMultilevel"/>
    <w:tmpl w:val="71BA4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55"/>
    <w:rsid w:val="000B13B2"/>
    <w:rsid w:val="002B3413"/>
    <w:rsid w:val="002E3B3F"/>
    <w:rsid w:val="004A3C20"/>
    <w:rsid w:val="004B3B2E"/>
    <w:rsid w:val="00551F99"/>
    <w:rsid w:val="005D3DAC"/>
    <w:rsid w:val="00700B4D"/>
    <w:rsid w:val="007A2F55"/>
    <w:rsid w:val="00AE6701"/>
    <w:rsid w:val="00CA57C2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5CDE0-6C5E-449C-9177-39E1B8F0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A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2F55"/>
  </w:style>
  <w:style w:type="paragraph" w:styleId="Zpat">
    <w:name w:val="footer"/>
    <w:basedOn w:val="Normln"/>
    <w:link w:val="ZpatChar"/>
    <w:uiPriority w:val="99"/>
    <w:unhideWhenUsed/>
    <w:rsid w:val="007A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2F55"/>
  </w:style>
  <w:style w:type="paragraph" w:styleId="Textbubliny">
    <w:name w:val="Balloon Text"/>
    <w:basedOn w:val="Normln"/>
    <w:link w:val="TextbublinyChar"/>
    <w:uiPriority w:val="99"/>
    <w:semiHidden/>
    <w:unhideWhenUsed/>
    <w:rsid w:val="0055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1F9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00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cp:lastPrinted>2020-05-15T07:16:00Z</cp:lastPrinted>
  <dcterms:created xsi:type="dcterms:W3CDTF">2020-05-27T05:39:00Z</dcterms:created>
  <dcterms:modified xsi:type="dcterms:W3CDTF">2020-05-27T05:39:00Z</dcterms:modified>
</cp:coreProperties>
</file>