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F6" w:rsidRDefault="00B44DF6" w:rsidP="00957AAC">
      <w:pPr>
        <w:pStyle w:val="Zkladntext"/>
        <w:tabs>
          <w:tab w:val="clear" w:pos="0"/>
          <w:tab w:val="left" w:pos="-1843"/>
          <w:tab w:val="left" w:pos="-1560"/>
        </w:tabs>
        <w:spacing w:before="120"/>
        <w:jc w:val="right"/>
        <w:rPr>
          <w:rFonts w:ascii="Calibri" w:hAnsi="Calibri"/>
          <w:b w:val="0"/>
          <w:sz w:val="24"/>
          <w:szCs w:val="24"/>
        </w:rPr>
      </w:pPr>
    </w:p>
    <w:p w:rsidR="00247368" w:rsidRDefault="00247368" w:rsidP="00957AAC">
      <w:pPr>
        <w:pStyle w:val="Zkladntext"/>
        <w:tabs>
          <w:tab w:val="clear" w:pos="0"/>
          <w:tab w:val="left" w:pos="-1843"/>
          <w:tab w:val="left" w:pos="-1560"/>
        </w:tabs>
        <w:spacing w:before="120"/>
        <w:jc w:val="right"/>
        <w:rPr>
          <w:rFonts w:ascii="Calibri" w:hAnsi="Calibri"/>
          <w:b w:val="0"/>
          <w:sz w:val="24"/>
          <w:szCs w:val="24"/>
        </w:rPr>
      </w:pPr>
    </w:p>
    <w:p w:rsidR="00247368" w:rsidRDefault="00247368" w:rsidP="00957AAC">
      <w:pPr>
        <w:pStyle w:val="Zkladntext"/>
        <w:tabs>
          <w:tab w:val="clear" w:pos="0"/>
          <w:tab w:val="left" w:pos="-1843"/>
          <w:tab w:val="left" w:pos="-1560"/>
        </w:tabs>
        <w:spacing w:before="120"/>
        <w:jc w:val="right"/>
        <w:rPr>
          <w:rFonts w:ascii="Calibri" w:hAnsi="Calibri"/>
          <w:b w:val="0"/>
          <w:sz w:val="24"/>
          <w:szCs w:val="24"/>
        </w:rPr>
      </w:pPr>
    </w:p>
    <w:p w:rsidR="00247368" w:rsidRDefault="00247368" w:rsidP="00957AAC">
      <w:pPr>
        <w:pStyle w:val="Zkladntext"/>
        <w:tabs>
          <w:tab w:val="clear" w:pos="0"/>
          <w:tab w:val="left" w:pos="-1843"/>
          <w:tab w:val="left" w:pos="-1560"/>
        </w:tabs>
        <w:spacing w:before="120"/>
        <w:jc w:val="right"/>
        <w:rPr>
          <w:rFonts w:ascii="Calibri" w:hAnsi="Calibri"/>
          <w:b w:val="0"/>
          <w:sz w:val="24"/>
          <w:szCs w:val="24"/>
        </w:rPr>
      </w:pPr>
    </w:p>
    <w:p w:rsidR="00A64035" w:rsidRDefault="00A64035" w:rsidP="00A64035"/>
    <w:p w:rsidR="00A64035" w:rsidRPr="00406C54" w:rsidRDefault="00A64035" w:rsidP="00A64035">
      <w:pPr>
        <w:rPr>
          <w:b/>
          <w:bCs/>
        </w:rPr>
      </w:pPr>
      <w:r w:rsidRPr="00406C54">
        <w:rPr>
          <w:b/>
          <w:bCs/>
        </w:rPr>
        <w:t xml:space="preserve">          </w:t>
      </w:r>
    </w:p>
    <w:p w:rsidR="00A64035" w:rsidRPr="00406C54" w:rsidRDefault="00A64035" w:rsidP="00A64035">
      <w:pPr>
        <w:rPr>
          <w:b/>
          <w:color w:val="000080"/>
          <w:sz w:val="40"/>
          <w:szCs w:val="40"/>
        </w:rPr>
      </w:pPr>
    </w:p>
    <w:p w:rsidR="00A64035" w:rsidRPr="00406C54" w:rsidRDefault="00A64035" w:rsidP="00A64035">
      <w:pPr>
        <w:rPr>
          <w:b/>
          <w:color w:val="000080"/>
          <w:sz w:val="40"/>
          <w:szCs w:val="40"/>
        </w:rPr>
      </w:pPr>
      <w:r w:rsidRPr="00406C54">
        <w:rPr>
          <w:b/>
          <w:color w:val="000080"/>
          <w:sz w:val="40"/>
          <w:szCs w:val="40"/>
        </w:rPr>
        <w:t xml:space="preserve">                     Statutární město Chomutov</w:t>
      </w:r>
    </w:p>
    <w:p w:rsidR="00A64035" w:rsidRDefault="00A64035" w:rsidP="00A64035">
      <w:pPr>
        <w:jc w:val="center"/>
        <w:rPr>
          <w:b/>
          <w:color w:val="000080"/>
          <w:sz w:val="40"/>
          <w:szCs w:val="40"/>
        </w:rPr>
      </w:pPr>
    </w:p>
    <w:p w:rsidR="00A64035" w:rsidRPr="00406C54" w:rsidRDefault="00A64035" w:rsidP="00A64035">
      <w:pPr>
        <w:jc w:val="center"/>
        <w:rPr>
          <w:b/>
          <w:color w:val="000080"/>
          <w:sz w:val="40"/>
          <w:szCs w:val="40"/>
        </w:rPr>
      </w:pPr>
    </w:p>
    <w:p w:rsidR="00A64035" w:rsidRPr="00406C54" w:rsidRDefault="00A64035" w:rsidP="00A64035">
      <w:pPr>
        <w:jc w:val="center"/>
        <w:rPr>
          <w:b/>
          <w:color w:val="000080"/>
          <w:sz w:val="40"/>
          <w:szCs w:val="40"/>
        </w:rPr>
      </w:pPr>
      <w:r>
        <w:rPr>
          <w:b/>
          <w:noProof/>
          <w:color w:val="000080"/>
          <w:sz w:val="40"/>
          <w:szCs w:val="40"/>
        </w:rPr>
        <w:drawing>
          <wp:inline distT="0" distB="0" distL="0" distR="0">
            <wp:extent cx="3619500" cy="2047875"/>
            <wp:effectExtent l="0" t="0" r="0" b="0"/>
            <wp:docPr id="12" name="Obrázek 12" descr="chomutov_2011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mutov_2011_logo_RG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2047875"/>
                    </a:xfrm>
                    <a:prstGeom prst="rect">
                      <a:avLst/>
                    </a:prstGeom>
                    <a:noFill/>
                    <a:ln>
                      <a:noFill/>
                    </a:ln>
                  </pic:spPr>
                </pic:pic>
              </a:graphicData>
            </a:graphic>
          </wp:inline>
        </w:drawing>
      </w:r>
    </w:p>
    <w:p w:rsidR="00A64035" w:rsidRPr="00406C54" w:rsidRDefault="00A64035" w:rsidP="00A64035">
      <w:pPr>
        <w:jc w:val="center"/>
        <w:rPr>
          <w:b/>
          <w:color w:val="000080"/>
          <w:sz w:val="40"/>
          <w:szCs w:val="40"/>
        </w:rPr>
      </w:pPr>
    </w:p>
    <w:p w:rsidR="00A64035" w:rsidRPr="00D04A40" w:rsidRDefault="00A64035" w:rsidP="00A64035">
      <w:pPr>
        <w:autoSpaceDE w:val="0"/>
        <w:autoSpaceDN w:val="0"/>
        <w:adjustRightInd w:val="0"/>
        <w:jc w:val="center"/>
        <w:rPr>
          <w:rFonts w:cs="Calibri"/>
          <w:b/>
          <w:bCs/>
          <w:color w:val="1F497D"/>
          <w:sz w:val="40"/>
          <w:szCs w:val="40"/>
        </w:rPr>
      </w:pPr>
    </w:p>
    <w:p w:rsidR="00A64035" w:rsidRPr="00D04A40" w:rsidRDefault="00A64035" w:rsidP="00A64035">
      <w:pPr>
        <w:autoSpaceDE w:val="0"/>
        <w:autoSpaceDN w:val="0"/>
        <w:adjustRightInd w:val="0"/>
        <w:jc w:val="center"/>
        <w:rPr>
          <w:rFonts w:cs="Calibri"/>
          <w:b/>
          <w:bCs/>
          <w:color w:val="1F497D"/>
          <w:sz w:val="40"/>
          <w:szCs w:val="40"/>
        </w:rPr>
      </w:pPr>
    </w:p>
    <w:p w:rsidR="00A64035" w:rsidRDefault="00A64035" w:rsidP="00A64035">
      <w:pPr>
        <w:autoSpaceDE w:val="0"/>
        <w:autoSpaceDN w:val="0"/>
        <w:adjustRightInd w:val="0"/>
        <w:jc w:val="center"/>
        <w:rPr>
          <w:rFonts w:cs="Calibri"/>
          <w:b/>
          <w:bCs/>
          <w:color w:val="1F497D"/>
          <w:sz w:val="40"/>
          <w:szCs w:val="40"/>
        </w:rPr>
      </w:pPr>
      <w:r w:rsidRPr="00D04A40">
        <w:rPr>
          <w:rFonts w:cs="Calibri"/>
          <w:b/>
          <w:bCs/>
          <w:color w:val="1F497D"/>
          <w:sz w:val="40"/>
          <w:szCs w:val="40"/>
        </w:rPr>
        <w:t xml:space="preserve">Dlouhodobý záměr </w:t>
      </w:r>
    </w:p>
    <w:p w:rsidR="00A64035" w:rsidRDefault="00A64035" w:rsidP="00A64035">
      <w:pPr>
        <w:autoSpaceDE w:val="0"/>
        <w:autoSpaceDN w:val="0"/>
        <w:adjustRightInd w:val="0"/>
        <w:jc w:val="center"/>
        <w:rPr>
          <w:rFonts w:cs="Calibri"/>
          <w:b/>
          <w:bCs/>
          <w:color w:val="1F497D"/>
          <w:sz w:val="40"/>
          <w:szCs w:val="40"/>
        </w:rPr>
      </w:pPr>
      <w:r w:rsidRPr="00D04A40">
        <w:rPr>
          <w:rFonts w:cs="Calibri"/>
          <w:b/>
          <w:bCs/>
          <w:color w:val="1F497D"/>
          <w:sz w:val="40"/>
          <w:szCs w:val="40"/>
        </w:rPr>
        <w:t>rozvoje vzdělávání</w:t>
      </w:r>
      <w:r>
        <w:rPr>
          <w:rFonts w:cs="Calibri"/>
          <w:b/>
          <w:bCs/>
          <w:color w:val="1F497D"/>
          <w:sz w:val="40"/>
          <w:szCs w:val="40"/>
        </w:rPr>
        <w:t xml:space="preserve"> </w:t>
      </w:r>
      <w:r w:rsidRPr="00D04A40">
        <w:rPr>
          <w:rFonts w:cs="Calibri"/>
          <w:b/>
          <w:bCs/>
          <w:color w:val="1F497D"/>
          <w:sz w:val="40"/>
          <w:szCs w:val="40"/>
        </w:rPr>
        <w:t xml:space="preserve">a vzdělávací soustavy </w:t>
      </w:r>
    </w:p>
    <w:p w:rsidR="00A64035" w:rsidRPr="00D04A40" w:rsidRDefault="00A64035" w:rsidP="00A64035">
      <w:pPr>
        <w:autoSpaceDE w:val="0"/>
        <w:autoSpaceDN w:val="0"/>
        <w:adjustRightInd w:val="0"/>
        <w:jc w:val="center"/>
        <w:rPr>
          <w:rFonts w:cs="Calibri"/>
          <w:b/>
          <w:bCs/>
          <w:color w:val="1F497D"/>
          <w:sz w:val="40"/>
          <w:szCs w:val="40"/>
        </w:rPr>
      </w:pPr>
      <w:r w:rsidRPr="00D04A40">
        <w:rPr>
          <w:rFonts w:cs="Calibri"/>
          <w:b/>
          <w:bCs/>
          <w:color w:val="1F497D"/>
          <w:sz w:val="40"/>
          <w:szCs w:val="40"/>
        </w:rPr>
        <w:t>a podpory zaměstnanosti</w:t>
      </w:r>
    </w:p>
    <w:p w:rsidR="00A64035" w:rsidRPr="00D04A40" w:rsidRDefault="00A64035" w:rsidP="00A64035">
      <w:pPr>
        <w:autoSpaceDE w:val="0"/>
        <w:autoSpaceDN w:val="0"/>
        <w:adjustRightInd w:val="0"/>
        <w:jc w:val="center"/>
        <w:rPr>
          <w:rFonts w:cs="Calibri"/>
          <w:b/>
          <w:bCs/>
          <w:color w:val="1F497D"/>
          <w:sz w:val="40"/>
          <w:szCs w:val="40"/>
        </w:rPr>
      </w:pPr>
      <w:r w:rsidRPr="00D04A40">
        <w:rPr>
          <w:rFonts w:cs="Calibri"/>
          <w:b/>
          <w:bCs/>
          <w:color w:val="1F497D"/>
          <w:sz w:val="40"/>
          <w:szCs w:val="40"/>
        </w:rPr>
        <w:t>na území města Chomutov</w:t>
      </w:r>
      <w:r>
        <w:rPr>
          <w:rFonts w:cs="Calibri"/>
          <w:b/>
          <w:bCs/>
          <w:color w:val="1F497D"/>
          <w:sz w:val="40"/>
          <w:szCs w:val="40"/>
        </w:rPr>
        <w:t>a</w:t>
      </w:r>
      <w:r w:rsidRPr="00D04A40">
        <w:rPr>
          <w:rFonts w:cs="Calibri"/>
          <w:b/>
          <w:bCs/>
          <w:color w:val="1F497D"/>
          <w:sz w:val="40"/>
          <w:szCs w:val="40"/>
        </w:rPr>
        <w:t xml:space="preserve"> do roku 2020</w:t>
      </w:r>
    </w:p>
    <w:p w:rsidR="00A64035" w:rsidRPr="00406C54" w:rsidRDefault="00A64035" w:rsidP="00A64035">
      <w:pPr>
        <w:jc w:val="center"/>
        <w:rPr>
          <w:b/>
          <w:color w:val="000080"/>
        </w:rPr>
      </w:pPr>
    </w:p>
    <w:p w:rsidR="00A64035" w:rsidRPr="00406C54" w:rsidRDefault="00A64035" w:rsidP="00A64035">
      <w:pPr>
        <w:jc w:val="center"/>
        <w:rPr>
          <w:b/>
          <w:color w:val="000080"/>
        </w:rPr>
      </w:pPr>
    </w:p>
    <w:p w:rsidR="00A64035" w:rsidRPr="00406C54" w:rsidRDefault="00A64035" w:rsidP="00A64035">
      <w:pPr>
        <w:jc w:val="center"/>
        <w:rPr>
          <w:b/>
          <w:color w:val="000080"/>
        </w:rPr>
      </w:pPr>
    </w:p>
    <w:p w:rsidR="00A64035" w:rsidRDefault="00A64035" w:rsidP="00A64035">
      <w:pPr>
        <w:jc w:val="center"/>
        <w:rPr>
          <w:b/>
          <w:color w:val="000080"/>
        </w:rPr>
      </w:pPr>
    </w:p>
    <w:p w:rsidR="00A64035" w:rsidRPr="008C58AA" w:rsidRDefault="00A64035" w:rsidP="00A64035">
      <w:pPr>
        <w:jc w:val="both"/>
        <w:rPr>
          <w:color w:val="000080"/>
        </w:rPr>
      </w:pPr>
      <w:r w:rsidRPr="008C58AA">
        <w:rPr>
          <w:color w:val="000080"/>
        </w:rPr>
        <w:t xml:space="preserve">Zpracoval: </w:t>
      </w:r>
    </w:p>
    <w:p w:rsidR="00A64035" w:rsidRPr="008C58AA" w:rsidRDefault="00A64035" w:rsidP="00A64035">
      <w:pPr>
        <w:jc w:val="both"/>
        <w:rPr>
          <w:color w:val="000080"/>
        </w:rPr>
      </w:pPr>
    </w:p>
    <w:p w:rsidR="00A64035" w:rsidRDefault="00A64035" w:rsidP="00A64035">
      <w:pPr>
        <w:jc w:val="both"/>
        <w:rPr>
          <w:color w:val="000080"/>
        </w:rPr>
      </w:pPr>
      <w:r w:rsidRPr="008C58AA">
        <w:rPr>
          <w:color w:val="000080"/>
        </w:rPr>
        <w:t xml:space="preserve">Předkládá: </w:t>
      </w:r>
    </w:p>
    <w:p w:rsidR="00A64035" w:rsidRDefault="00A64035" w:rsidP="00A64035">
      <w:pPr>
        <w:jc w:val="both"/>
        <w:rPr>
          <w:color w:val="000080"/>
        </w:rPr>
      </w:pPr>
    </w:p>
    <w:p w:rsidR="00A64035" w:rsidRPr="008C58AA" w:rsidRDefault="00A64035" w:rsidP="00A64035">
      <w:pPr>
        <w:jc w:val="both"/>
        <w:rPr>
          <w:color w:val="000080"/>
        </w:rPr>
      </w:pPr>
      <w:r>
        <w:rPr>
          <w:color w:val="000080"/>
        </w:rPr>
        <w:t>V Chomutově _____________ 2012</w:t>
      </w: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jc w:val="center"/>
        <w:rPr>
          <w:b/>
          <w:color w:val="000080"/>
        </w:rPr>
      </w:pPr>
    </w:p>
    <w:p w:rsidR="00A64035" w:rsidRDefault="00A64035" w:rsidP="00A64035">
      <w:pPr>
        <w:rPr>
          <w:b/>
          <w:color w:val="000080"/>
        </w:rPr>
      </w:pPr>
    </w:p>
    <w:p w:rsidR="00A64035" w:rsidRPr="00406C54" w:rsidRDefault="00A64035" w:rsidP="00A64035">
      <w:pPr>
        <w:rPr>
          <w:b/>
          <w:color w:val="000080"/>
        </w:rPr>
      </w:pPr>
    </w:p>
    <w:p w:rsidR="00A64035" w:rsidRPr="008C58AA" w:rsidRDefault="00A64035" w:rsidP="00A64035">
      <w:r w:rsidRPr="008C58AA">
        <w:t>Investice do vědění nesou nejvyšší úrok.</w:t>
      </w:r>
    </w:p>
    <w:p w:rsidR="00A64035" w:rsidRPr="008C58AA" w:rsidRDefault="00A64035" w:rsidP="00A64035">
      <w:pPr>
        <w:ind w:left="2832" w:firstLine="708"/>
      </w:pPr>
      <w:r w:rsidRPr="008C58AA">
        <w:t xml:space="preserve">                                          </w:t>
      </w:r>
      <w:r>
        <w:t xml:space="preserve">Benjamin Franklin </w:t>
      </w:r>
    </w:p>
    <w:p w:rsidR="00A64035" w:rsidRPr="00406C54" w:rsidRDefault="00A64035" w:rsidP="00A64035">
      <w:pPr>
        <w:rPr>
          <w:b/>
        </w:rPr>
      </w:pPr>
    </w:p>
    <w:p w:rsidR="00A64035" w:rsidRPr="00A64035" w:rsidRDefault="00A64035" w:rsidP="00A64035">
      <w:pPr>
        <w:spacing w:before="100" w:beforeAutospacing="1" w:after="100" w:afterAutospacing="1"/>
        <w:ind w:left="360"/>
        <w:rPr>
          <w:b/>
        </w:rPr>
      </w:pPr>
      <w:r w:rsidRPr="00406C54">
        <w:rPr>
          <w:b/>
        </w:rPr>
        <w:t xml:space="preserve">    </w:t>
      </w:r>
    </w:p>
    <w:p w:rsidR="00A64035" w:rsidRDefault="00A64035" w:rsidP="00A64035">
      <w:pPr>
        <w:rPr>
          <w:b/>
          <w:color w:val="000080"/>
        </w:rPr>
      </w:pPr>
    </w:p>
    <w:p w:rsidR="00A64035" w:rsidRPr="00406C54" w:rsidRDefault="00A64035" w:rsidP="00A64035">
      <w:pPr>
        <w:rPr>
          <w:b/>
          <w:color w:val="000080"/>
        </w:rPr>
      </w:pPr>
    </w:p>
    <w:p w:rsidR="00A64035" w:rsidRPr="00406C54" w:rsidRDefault="00A64035" w:rsidP="00A64035">
      <w:pPr>
        <w:rPr>
          <w:b/>
          <w:color w:val="000080"/>
        </w:rPr>
      </w:pPr>
    </w:p>
    <w:p w:rsidR="00A64035" w:rsidRDefault="00A64035" w:rsidP="00A64035">
      <w:pPr>
        <w:rPr>
          <w:b/>
          <w:color w:val="000080"/>
        </w:rPr>
      </w:pPr>
      <w:r>
        <w:rPr>
          <w:b/>
          <w:color w:val="000080"/>
        </w:rPr>
        <w:lastRenderedPageBreak/>
        <w:t>OBSAH</w:t>
      </w:r>
    </w:p>
    <w:p w:rsidR="00A64035" w:rsidRDefault="00A64035" w:rsidP="00A64035">
      <w:pPr>
        <w:rPr>
          <w:b/>
          <w:color w:val="000080"/>
        </w:rPr>
      </w:pPr>
    </w:p>
    <w:p w:rsidR="00A64035" w:rsidRDefault="00A64035" w:rsidP="00A64035">
      <w:pPr>
        <w:rPr>
          <w:b/>
          <w:color w:val="000080"/>
        </w:rPr>
      </w:pPr>
      <w:r>
        <w:rPr>
          <w:b/>
          <w:color w:val="000080"/>
        </w:rPr>
        <w:t xml:space="preserve">1 </w:t>
      </w:r>
      <w:r>
        <w:rPr>
          <w:b/>
          <w:color w:val="000080"/>
        </w:rPr>
        <w:tab/>
        <w:t>ÚVOD</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4</w:t>
      </w:r>
    </w:p>
    <w:p w:rsidR="00A64035" w:rsidRDefault="00A64035" w:rsidP="00A64035">
      <w:pPr>
        <w:rPr>
          <w:b/>
          <w:color w:val="000080"/>
        </w:rPr>
      </w:pPr>
      <w:r>
        <w:rPr>
          <w:b/>
          <w:color w:val="000080"/>
        </w:rPr>
        <w:t xml:space="preserve">2 </w:t>
      </w:r>
      <w:r>
        <w:rPr>
          <w:b/>
          <w:color w:val="000080"/>
        </w:rPr>
        <w:tab/>
        <w:t>STRUČNÁ CHARAKTERISTIKA PŘEDCHOZÍHO OBDOBÍ</w:t>
      </w:r>
      <w:r>
        <w:rPr>
          <w:b/>
          <w:color w:val="000080"/>
        </w:rPr>
        <w:tab/>
      </w:r>
      <w:r>
        <w:rPr>
          <w:b/>
          <w:color w:val="000080"/>
        </w:rPr>
        <w:tab/>
        <w:t>5</w:t>
      </w:r>
    </w:p>
    <w:p w:rsidR="00A64035" w:rsidRDefault="00A64035" w:rsidP="00A64035">
      <w:pPr>
        <w:rPr>
          <w:b/>
          <w:color w:val="000080"/>
        </w:rPr>
      </w:pPr>
      <w:r>
        <w:rPr>
          <w:b/>
          <w:color w:val="000080"/>
        </w:rPr>
        <w:t xml:space="preserve">3 </w:t>
      </w:r>
      <w:r>
        <w:rPr>
          <w:b/>
          <w:color w:val="000080"/>
        </w:rPr>
        <w:tab/>
        <w:t>VÝCHOVNĚ – VZDĚLÁVACÍ SOUSTAVA MĚSTA CHOMUTOVA</w:t>
      </w:r>
      <w:r>
        <w:rPr>
          <w:b/>
          <w:color w:val="000080"/>
        </w:rPr>
        <w:tab/>
        <w:t>6</w:t>
      </w:r>
    </w:p>
    <w:p w:rsidR="00A64035" w:rsidRDefault="00A64035" w:rsidP="00A64035">
      <w:pPr>
        <w:rPr>
          <w:b/>
          <w:color w:val="000080"/>
        </w:rPr>
      </w:pPr>
      <w:r>
        <w:rPr>
          <w:b/>
          <w:color w:val="000080"/>
        </w:rPr>
        <w:t xml:space="preserve">3.1 </w:t>
      </w:r>
      <w:r>
        <w:rPr>
          <w:b/>
          <w:color w:val="000080"/>
        </w:rPr>
        <w:tab/>
        <w:t>PŘEDŠKOLNÍ VZDĚLÁVÁNÍ</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6</w:t>
      </w:r>
    </w:p>
    <w:p w:rsidR="00A64035" w:rsidRDefault="00A64035" w:rsidP="00A64035">
      <w:pPr>
        <w:rPr>
          <w:b/>
          <w:color w:val="000080"/>
        </w:rPr>
      </w:pPr>
      <w:r>
        <w:rPr>
          <w:b/>
          <w:color w:val="000080"/>
        </w:rPr>
        <w:t xml:space="preserve">3.1.1 </w:t>
      </w:r>
      <w:r>
        <w:rPr>
          <w:b/>
          <w:color w:val="000080"/>
        </w:rPr>
        <w:tab/>
        <w:t>Mateřské školy</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6</w:t>
      </w:r>
    </w:p>
    <w:p w:rsidR="00A64035" w:rsidRDefault="00A64035" w:rsidP="00A64035">
      <w:pPr>
        <w:rPr>
          <w:b/>
          <w:color w:val="000080"/>
        </w:rPr>
      </w:pPr>
      <w:r>
        <w:rPr>
          <w:b/>
          <w:color w:val="000080"/>
        </w:rPr>
        <w:t xml:space="preserve">3.1.2 </w:t>
      </w:r>
      <w:r>
        <w:rPr>
          <w:b/>
          <w:color w:val="000080"/>
        </w:rPr>
        <w:tab/>
        <w:t>Ostatní subjekty pečující o děti do 6 let věku</w:t>
      </w:r>
      <w:r>
        <w:rPr>
          <w:b/>
          <w:color w:val="000080"/>
        </w:rPr>
        <w:tab/>
      </w:r>
      <w:r>
        <w:rPr>
          <w:b/>
          <w:color w:val="000080"/>
        </w:rPr>
        <w:tab/>
      </w:r>
      <w:r>
        <w:rPr>
          <w:b/>
          <w:color w:val="000080"/>
        </w:rPr>
        <w:tab/>
      </w:r>
      <w:r>
        <w:rPr>
          <w:b/>
          <w:color w:val="000080"/>
        </w:rPr>
        <w:tab/>
        <w:t>6</w:t>
      </w:r>
    </w:p>
    <w:p w:rsidR="00A64035" w:rsidRDefault="00A64035" w:rsidP="00A64035">
      <w:pPr>
        <w:rPr>
          <w:b/>
          <w:color w:val="000080"/>
        </w:rPr>
      </w:pPr>
      <w:r>
        <w:rPr>
          <w:b/>
          <w:color w:val="000080"/>
        </w:rPr>
        <w:t>3.2</w:t>
      </w:r>
      <w:r>
        <w:rPr>
          <w:b/>
          <w:color w:val="000080"/>
        </w:rPr>
        <w:tab/>
        <w:t>ZÁKLADNÍ ŠKOLSTVÍ</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8</w:t>
      </w:r>
    </w:p>
    <w:p w:rsidR="00A64035" w:rsidRDefault="00A64035" w:rsidP="00A64035">
      <w:pPr>
        <w:rPr>
          <w:b/>
          <w:color w:val="000080"/>
        </w:rPr>
      </w:pPr>
      <w:r>
        <w:rPr>
          <w:b/>
          <w:color w:val="000080"/>
        </w:rPr>
        <w:t xml:space="preserve">3.2.1 </w:t>
      </w:r>
      <w:r>
        <w:rPr>
          <w:b/>
          <w:color w:val="000080"/>
        </w:rPr>
        <w:tab/>
        <w:t>Základní školy</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8</w:t>
      </w:r>
    </w:p>
    <w:p w:rsidR="00A64035" w:rsidRDefault="00A64035" w:rsidP="00A64035">
      <w:pPr>
        <w:rPr>
          <w:b/>
          <w:color w:val="000080"/>
        </w:rPr>
      </w:pPr>
      <w:r>
        <w:rPr>
          <w:b/>
          <w:color w:val="000080"/>
        </w:rPr>
        <w:t>3.2.2</w:t>
      </w:r>
      <w:r>
        <w:rPr>
          <w:b/>
          <w:color w:val="000080"/>
        </w:rPr>
        <w:tab/>
        <w:t>Školní služby</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9</w:t>
      </w:r>
    </w:p>
    <w:p w:rsidR="00A64035" w:rsidRDefault="00A64035" w:rsidP="00A64035">
      <w:pPr>
        <w:rPr>
          <w:b/>
          <w:color w:val="000080"/>
        </w:rPr>
      </w:pPr>
      <w:r>
        <w:rPr>
          <w:b/>
          <w:color w:val="000080"/>
        </w:rPr>
        <w:t xml:space="preserve">3.3 </w:t>
      </w:r>
      <w:r>
        <w:rPr>
          <w:b/>
          <w:color w:val="000080"/>
        </w:rPr>
        <w:tab/>
        <w:t>STŘEDNÍ ŠKOLY, VYŠŠÍ ODBORNÉ ŠKOLY, VYSOKÉ ŠKOLY</w:t>
      </w:r>
      <w:r>
        <w:rPr>
          <w:b/>
          <w:color w:val="000080"/>
        </w:rPr>
        <w:tab/>
      </w:r>
      <w:r>
        <w:rPr>
          <w:b/>
          <w:color w:val="000080"/>
        </w:rPr>
        <w:tab/>
        <w:t>13</w:t>
      </w:r>
    </w:p>
    <w:p w:rsidR="00A64035" w:rsidRDefault="00A64035" w:rsidP="00A64035">
      <w:pPr>
        <w:rPr>
          <w:b/>
          <w:color w:val="000080"/>
        </w:rPr>
      </w:pPr>
      <w:r>
        <w:rPr>
          <w:b/>
          <w:color w:val="000080"/>
        </w:rPr>
        <w:t xml:space="preserve">3.3.1 </w:t>
      </w:r>
      <w:r>
        <w:rPr>
          <w:b/>
          <w:color w:val="000080"/>
        </w:rPr>
        <w:tab/>
        <w:t>Vzdělávací organizace na území města</w:t>
      </w:r>
      <w:r>
        <w:rPr>
          <w:b/>
          <w:color w:val="000080"/>
        </w:rPr>
        <w:tab/>
      </w:r>
      <w:r>
        <w:rPr>
          <w:b/>
          <w:color w:val="000080"/>
        </w:rPr>
        <w:tab/>
      </w:r>
      <w:r>
        <w:rPr>
          <w:b/>
          <w:color w:val="000080"/>
        </w:rPr>
        <w:tab/>
      </w:r>
      <w:r>
        <w:rPr>
          <w:b/>
          <w:color w:val="000080"/>
        </w:rPr>
        <w:tab/>
      </w:r>
      <w:r>
        <w:rPr>
          <w:b/>
          <w:color w:val="000080"/>
        </w:rPr>
        <w:tab/>
        <w:t>13</w:t>
      </w:r>
    </w:p>
    <w:p w:rsidR="00A64035" w:rsidRDefault="00A64035" w:rsidP="00A64035">
      <w:pPr>
        <w:rPr>
          <w:b/>
          <w:color w:val="000080"/>
        </w:rPr>
      </w:pPr>
      <w:r>
        <w:rPr>
          <w:b/>
          <w:color w:val="000080"/>
        </w:rPr>
        <w:t>3.3.2</w:t>
      </w:r>
      <w:r>
        <w:rPr>
          <w:b/>
          <w:color w:val="000080"/>
        </w:rPr>
        <w:tab/>
        <w:t>Demografický vývoj</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13</w:t>
      </w:r>
    </w:p>
    <w:p w:rsidR="00A64035" w:rsidRDefault="00A64035" w:rsidP="00A64035">
      <w:pPr>
        <w:rPr>
          <w:b/>
          <w:color w:val="000080"/>
        </w:rPr>
      </w:pPr>
      <w:r>
        <w:rPr>
          <w:b/>
          <w:color w:val="000080"/>
        </w:rPr>
        <w:t>3.3.3</w:t>
      </w:r>
      <w:r>
        <w:rPr>
          <w:b/>
          <w:color w:val="000080"/>
        </w:rPr>
        <w:tab/>
        <w:t>Střední školy a vyšší odborné školy</w:t>
      </w:r>
      <w:r>
        <w:rPr>
          <w:b/>
          <w:color w:val="000080"/>
        </w:rPr>
        <w:tab/>
      </w:r>
      <w:r>
        <w:rPr>
          <w:b/>
          <w:color w:val="000080"/>
        </w:rPr>
        <w:tab/>
      </w:r>
      <w:r>
        <w:rPr>
          <w:b/>
          <w:color w:val="000080"/>
        </w:rPr>
        <w:tab/>
      </w:r>
      <w:r>
        <w:rPr>
          <w:b/>
          <w:color w:val="000080"/>
        </w:rPr>
        <w:tab/>
      </w:r>
      <w:r>
        <w:rPr>
          <w:b/>
          <w:color w:val="000080"/>
        </w:rPr>
        <w:tab/>
      </w:r>
      <w:r>
        <w:rPr>
          <w:b/>
          <w:color w:val="000080"/>
        </w:rPr>
        <w:tab/>
        <w:t>13</w:t>
      </w:r>
    </w:p>
    <w:p w:rsidR="00A64035" w:rsidRDefault="00A64035" w:rsidP="00A64035">
      <w:pPr>
        <w:rPr>
          <w:b/>
          <w:color w:val="000080"/>
        </w:rPr>
      </w:pPr>
      <w:r>
        <w:rPr>
          <w:b/>
          <w:color w:val="000080"/>
        </w:rPr>
        <w:t>3.3.4</w:t>
      </w:r>
      <w:r>
        <w:rPr>
          <w:b/>
          <w:color w:val="000080"/>
        </w:rPr>
        <w:tab/>
        <w:t>Základní principy rozvoje</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14</w:t>
      </w:r>
    </w:p>
    <w:p w:rsidR="00A64035" w:rsidRDefault="00A64035" w:rsidP="00A64035">
      <w:pPr>
        <w:rPr>
          <w:b/>
          <w:color w:val="000080"/>
        </w:rPr>
      </w:pPr>
      <w:r>
        <w:rPr>
          <w:b/>
          <w:color w:val="000080"/>
        </w:rPr>
        <w:t xml:space="preserve">3.3.5 </w:t>
      </w:r>
      <w:r>
        <w:rPr>
          <w:b/>
          <w:color w:val="000080"/>
        </w:rPr>
        <w:tab/>
        <w:t>Vyšší odborné školy</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14</w:t>
      </w:r>
    </w:p>
    <w:p w:rsidR="00A64035" w:rsidRDefault="00A64035" w:rsidP="00A64035">
      <w:pPr>
        <w:rPr>
          <w:b/>
          <w:color w:val="000080"/>
        </w:rPr>
      </w:pPr>
      <w:r>
        <w:rPr>
          <w:b/>
          <w:color w:val="000080"/>
        </w:rPr>
        <w:t>3.3.6</w:t>
      </w:r>
      <w:r>
        <w:rPr>
          <w:b/>
          <w:color w:val="000080"/>
        </w:rPr>
        <w:tab/>
        <w:t>Vysoké školy</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15</w:t>
      </w:r>
    </w:p>
    <w:p w:rsidR="00A64035" w:rsidRDefault="00A64035" w:rsidP="00A64035">
      <w:pPr>
        <w:rPr>
          <w:b/>
          <w:color w:val="000080"/>
        </w:rPr>
      </w:pPr>
      <w:r>
        <w:rPr>
          <w:b/>
          <w:color w:val="000080"/>
        </w:rPr>
        <w:t xml:space="preserve">3.3.7 </w:t>
      </w:r>
      <w:r>
        <w:rPr>
          <w:b/>
          <w:color w:val="000080"/>
        </w:rPr>
        <w:tab/>
        <w:t>Další vzdělávání</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15</w:t>
      </w:r>
    </w:p>
    <w:p w:rsidR="00A64035" w:rsidRDefault="00A64035" w:rsidP="00A64035">
      <w:pPr>
        <w:rPr>
          <w:b/>
          <w:color w:val="000080"/>
        </w:rPr>
      </w:pPr>
      <w:r>
        <w:rPr>
          <w:b/>
          <w:color w:val="000080"/>
        </w:rPr>
        <w:t>3.4</w:t>
      </w:r>
      <w:r>
        <w:rPr>
          <w:b/>
          <w:color w:val="000080"/>
        </w:rPr>
        <w:tab/>
        <w:t>ŠKOLSKÁ PORADENSKÁ ZAŘÍZENÍ</w:t>
      </w:r>
      <w:r>
        <w:rPr>
          <w:b/>
          <w:color w:val="000080"/>
        </w:rPr>
        <w:tab/>
      </w:r>
      <w:r>
        <w:rPr>
          <w:b/>
          <w:color w:val="000080"/>
        </w:rPr>
        <w:tab/>
      </w:r>
      <w:r>
        <w:rPr>
          <w:b/>
          <w:color w:val="000080"/>
        </w:rPr>
        <w:tab/>
      </w:r>
      <w:r>
        <w:rPr>
          <w:b/>
          <w:color w:val="000080"/>
        </w:rPr>
        <w:tab/>
      </w:r>
      <w:r>
        <w:rPr>
          <w:b/>
          <w:color w:val="000080"/>
        </w:rPr>
        <w:tab/>
      </w:r>
      <w:r>
        <w:rPr>
          <w:b/>
          <w:color w:val="000080"/>
        </w:rPr>
        <w:tab/>
        <w:t>17</w:t>
      </w:r>
    </w:p>
    <w:p w:rsidR="00A64035" w:rsidRDefault="00A64035" w:rsidP="00A64035">
      <w:pPr>
        <w:rPr>
          <w:b/>
          <w:color w:val="000080"/>
        </w:rPr>
      </w:pPr>
      <w:r>
        <w:rPr>
          <w:b/>
          <w:color w:val="000080"/>
        </w:rPr>
        <w:t xml:space="preserve">3.5 </w:t>
      </w:r>
      <w:r>
        <w:rPr>
          <w:b/>
          <w:color w:val="000080"/>
        </w:rPr>
        <w:tab/>
        <w:t>ZÁJMOVÉ VZDĚLÁVÁNÍ</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17</w:t>
      </w:r>
    </w:p>
    <w:p w:rsidR="00A64035" w:rsidRDefault="00A64035" w:rsidP="00A64035">
      <w:pPr>
        <w:rPr>
          <w:b/>
          <w:color w:val="000080"/>
        </w:rPr>
      </w:pPr>
      <w:r>
        <w:rPr>
          <w:b/>
          <w:color w:val="000080"/>
        </w:rPr>
        <w:t>4</w:t>
      </w:r>
      <w:r>
        <w:rPr>
          <w:b/>
          <w:color w:val="000080"/>
        </w:rPr>
        <w:tab/>
        <w:t>PODPORA ZAMĚSTNANOSTI</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19</w:t>
      </w:r>
    </w:p>
    <w:p w:rsidR="00A64035" w:rsidRDefault="00A64035" w:rsidP="00A64035">
      <w:pPr>
        <w:rPr>
          <w:b/>
          <w:color w:val="000080"/>
        </w:rPr>
      </w:pPr>
      <w:r>
        <w:rPr>
          <w:b/>
          <w:color w:val="000080"/>
        </w:rPr>
        <w:t>4.1</w:t>
      </w:r>
      <w:r>
        <w:rPr>
          <w:b/>
          <w:color w:val="000080"/>
        </w:rPr>
        <w:tab/>
        <w:t>ZAMĚSTNANOST</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19</w:t>
      </w:r>
    </w:p>
    <w:p w:rsidR="00A64035" w:rsidRDefault="00A64035" w:rsidP="00A64035">
      <w:pPr>
        <w:rPr>
          <w:b/>
          <w:color w:val="000080"/>
        </w:rPr>
      </w:pPr>
      <w:r>
        <w:rPr>
          <w:b/>
          <w:color w:val="000080"/>
        </w:rPr>
        <w:t>4.2</w:t>
      </w:r>
      <w:r>
        <w:rPr>
          <w:b/>
          <w:color w:val="000080"/>
        </w:rPr>
        <w:tab/>
        <w:t>NEZAMĚSTNANOST</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19</w:t>
      </w:r>
    </w:p>
    <w:p w:rsidR="00A64035" w:rsidRDefault="00A64035" w:rsidP="00A64035">
      <w:pPr>
        <w:rPr>
          <w:b/>
          <w:color w:val="000080"/>
        </w:rPr>
      </w:pPr>
      <w:r>
        <w:rPr>
          <w:b/>
          <w:color w:val="000080"/>
        </w:rPr>
        <w:t xml:space="preserve">4.2.1 </w:t>
      </w:r>
      <w:r>
        <w:rPr>
          <w:b/>
          <w:color w:val="000080"/>
        </w:rPr>
        <w:tab/>
        <w:t>Vývoj nezaměstnanosti</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19</w:t>
      </w:r>
    </w:p>
    <w:p w:rsidR="00A64035" w:rsidRDefault="00A64035" w:rsidP="00A64035">
      <w:pPr>
        <w:rPr>
          <w:b/>
          <w:color w:val="000080"/>
        </w:rPr>
      </w:pPr>
      <w:r>
        <w:rPr>
          <w:b/>
          <w:color w:val="000080"/>
        </w:rPr>
        <w:t xml:space="preserve">4.2.2 </w:t>
      </w:r>
      <w:r>
        <w:rPr>
          <w:b/>
          <w:color w:val="000080"/>
        </w:rPr>
        <w:tab/>
        <w:t>Absolventi škol a mladiství</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20</w:t>
      </w:r>
    </w:p>
    <w:p w:rsidR="00A64035" w:rsidRDefault="00A64035" w:rsidP="00A64035">
      <w:pPr>
        <w:rPr>
          <w:b/>
          <w:color w:val="000080"/>
        </w:rPr>
      </w:pPr>
      <w:r>
        <w:rPr>
          <w:b/>
          <w:color w:val="000080"/>
        </w:rPr>
        <w:t>4.2.3</w:t>
      </w:r>
      <w:r>
        <w:rPr>
          <w:b/>
          <w:color w:val="000080"/>
        </w:rPr>
        <w:tab/>
        <w:t>Osoby se zdravotním postižením</w:t>
      </w:r>
      <w:r>
        <w:rPr>
          <w:b/>
          <w:color w:val="000080"/>
        </w:rPr>
        <w:tab/>
      </w:r>
      <w:r>
        <w:rPr>
          <w:b/>
          <w:color w:val="000080"/>
        </w:rPr>
        <w:tab/>
      </w:r>
      <w:r>
        <w:rPr>
          <w:b/>
          <w:color w:val="000080"/>
        </w:rPr>
        <w:tab/>
      </w:r>
      <w:r>
        <w:rPr>
          <w:b/>
          <w:color w:val="000080"/>
        </w:rPr>
        <w:tab/>
      </w:r>
      <w:r>
        <w:rPr>
          <w:b/>
          <w:color w:val="000080"/>
        </w:rPr>
        <w:tab/>
      </w:r>
      <w:r>
        <w:rPr>
          <w:b/>
          <w:color w:val="000080"/>
        </w:rPr>
        <w:tab/>
        <w:t>21</w:t>
      </w:r>
    </w:p>
    <w:p w:rsidR="00A64035" w:rsidRDefault="00A64035" w:rsidP="00A64035">
      <w:pPr>
        <w:rPr>
          <w:b/>
          <w:color w:val="000080"/>
        </w:rPr>
      </w:pPr>
      <w:r>
        <w:rPr>
          <w:b/>
          <w:color w:val="000080"/>
        </w:rPr>
        <w:t>4.2.4</w:t>
      </w:r>
      <w:r>
        <w:rPr>
          <w:b/>
          <w:color w:val="000080"/>
        </w:rPr>
        <w:tab/>
        <w:t>Situace dalších problémových skupin na trhu práce</w:t>
      </w:r>
      <w:r>
        <w:rPr>
          <w:b/>
          <w:color w:val="000080"/>
        </w:rPr>
        <w:tab/>
      </w:r>
      <w:r>
        <w:rPr>
          <w:b/>
          <w:color w:val="000080"/>
        </w:rPr>
        <w:tab/>
      </w:r>
      <w:r>
        <w:rPr>
          <w:b/>
          <w:color w:val="000080"/>
        </w:rPr>
        <w:tab/>
        <w:t>22</w:t>
      </w:r>
    </w:p>
    <w:p w:rsidR="00A64035" w:rsidRDefault="00A64035" w:rsidP="00A64035">
      <w:pPr>
        <w:rPr>
          <w:b/>
          <w:color w:val="000080"/>
        </w:rPr>
      </w:pPr>
      <w:r>
        <w:rPr>
          <w:b/>
          <w:color w:val="000080"/>
        </w:rPr>
        <w:t>4.2.5</w:t>
      </w:r>
      <w:r>
        <w:rPr>
          <w:b/>
          <w:color w:val="000080"/>
        </w:rPr>
        <w:tab/>
        <w:t>Charakteristika okresu a ohrožených mikroregionů</w:t>
      </w:r>
      <w:r>
        <w:rPr>
          <w:b/>
          <w:color w:val="000080"/>
        </w:rPr>
        <w:tab/>
      </w:r>
      <w:r>
        <w:rPr>
          <w:b/>
          <w:color w:val="000080"/>
        </w:rPr>
        <w:tab/>
      </w:r>
      <w:r>
        <w:rPr>
          <w:b/>
          <w:color w:val="000080"/>
        </w:rPr>
        <w:tab/>
        <w:t>23</w:t>
      </w:r>
    </w:p>
    <w:p w:rsidR="00A64035" w:rsidRDefault="00A64035" w:rsidP="00A64035">
      <w:pPr>
        <w:rPr>
          <w:b/>
          <w:color w:val="000080"/>
        </w:rPr>
      </w:pPr>
      <w:r>
        <w:rPr>
          <w:b/>
          <w:color w:val="000080"/>
        </w:rPr>
        <w:t>4.3</w:t>
      </w:r>
      <w:r>
        <w:rPr>
          <w:b/>
          <w:color w:val="000080"/>
        </w:rPr>
        <w:tab/>
        <w:t>CIZINCI NA TRHU PRÁCE</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25</w:t>
      </w:r>
    </w:p>
    <w:p w:rsidR="00A64035" w:rsidRDefault="00A64035" w:rsidP="00A64035">
      <w:pPr>
        <w:rPr>
          <w:b/>
          <w:color w:val="000080"/>
        </w:rPr>
      </w:pPr>
      <w:r>
        <w:rPr>
          <w:b/>
          <w:color w:val="000080"/>
        </w:rPr>
        <w:t>4.4</w:t>
      </w:r>
      <w:r>
        <w:rPr>
          <w:b/>
          <w:color w:val="000080"/>
        </w:rPr>
        <w:tab/>
        <w:t>AKTIVNÍ POLITIKA ZAMĚSTNANOSTI</w:t>
      </w:r>
      <w:r>
        <w:rPr>
          <w:b/>
          <w:color w:val="000080"/>
        </w:rPr>
        <w:tab/>
      </w:r>
      <w:r>
        <w:rPr>
          <w:b/>
          <w:color w:val="000080"/>
        </w:rPr>
        <w:tab/>
      </w:r>
      <w:r>
        <w:rPr>
          <w:b/>
          <w:color w:val="000080"/>
        </w:rPr>
        <w:tab/>
      </w:r>
      <w:r>
        <w:rPr>
          <w:b/>
          <w:color w:val="000080"/>
        </w:rPr>
        <w:tab/>
      </w:r>
      <w:r>
        <w:rPr>
          <w:b/>
          <w:color w:val="000080"/>
        </w:rPr>
        <w:tab/>
        <w:t>26</w:t>
      </w:r>
    </w:p>
    <w:p w:rsidR="00A64035" w:rsidRDefault="00A64035" w:rsidP="00A64035">
      <w:pPr>
        <w:rPr>
          <w:b/>
          <w:color w:val="000080"/>
        </w:rPr>
      </w:pPr>
      <w:r>
        <w:rPr>
          <w:b/>
          <w:color w:val="000080"/>
        </w:rPr>
        <w:t>4.4.1</w:t>
      </w:r>
      <w:r>
        <w:rPr>
          <w:b/>
          <w:color w:val="000080"/>
        </w:rPr>
        <w:tab/>
        <w:t>Rekvalifikace</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26</w:t>
      </w:r>
    </w:p>
    <w:p w:rsidR="00A64035" w:rsidRDefault="00A64035" w:rsidP="00A64035">
      <w:pPr>
        <w:rPr>
          <w:b/>
          <w:color w:val="000080"/>
        </w:rPr>
      </w:pPr>
      <w:r>
        <w:rPr>
          <w:b/>
          <w:color w:val="000080"/>
        </w:rPr>
        <w:t>4.5</w:t>
      </w:r>
      <w:r>
        <w:rPr>
          <w:b/>
          <w:color w:val="000080"/>
        </w:rPr>
        <w:tab/>
        <w:t>PROGNÓZA VÝVOJE TRHU PRÁCE V DALŠÍM OBDOBÍ</w:t>
      </w:r>
      <w:r>
        <w:rPr>
          <w:b/>
          <w:color w:val="000080"/>
        </w:rPr>
        <w:tab/>
      </w:r>
      <w:r>
        <w:rPr>
          <w:b/>
          <w:color w:val="000080"/>
        </w:rPr>
        <w:tab/>
      </w:r>
      <w:r>
        <w:rPr>
          <w:b/>
          <w:color w:val="000080"/>
        </w:rPr>
        <w:tab/>
        <w:t>28</w:t>
      </w:r>
    </w:p>
    <w:p w:rsidR="00A64035" w:rsidRDefault="00A64035" w:rsidP="00A64035">
      <w:pPr>
        <w:ind w:left="705" w:hanging="705"/>
        <w:rPr>
          <w:b/>
          <w:color w:val="000080"/>
        </w:rPr>
      </w:pPr>
      <w:r>
        <w:rPr>
          <w:b/>
          <w:color w:val="000080"/>
        </w:rPr>
        <w:t>4.5.1</w:t>
      </w:r>
      <w:r>
        <w:rPr>
          <w:b/>
          <w:color w:val="000080"/>
        </w:rPr>
        <w:tab/>
        <w:t>Předpokládaný vývoj trhu práce, včetně celorepublikových</w:t>
      </w:r>
      <w:r>
        <w:rPr>
          <w:b/>
          <w:color w:val="000080"/>
        </w:rPr>
        <w:br/>
        <w:t>a místních faktorů, které ho ovlivňují</w:t>
      </w:r>
      <w:r>
        <w:rPr>
          <w:b/>
          <w:color w:val="000080"/>
        </w:rPr>
        <w:tab/>
      </w:r>
      <w:r>
        <w:rPr>
          <w:b/>
          <w:color w:val="000080"/>
        </w:rPr>
        <w:tab/>
      </w:r>
      <w:r>
        <w:rPr>
          <w:b/>
          <w:color w:val="000080"/>
        </w:rPr>
        <w:tab/>
      </w:r>
      <w:r>
        <w:rPr>
          <w:b/>
          <w:color w:val="000080"/>
        </w:rPr>
        <w:tab/>
      </w:r>
      <w:r>
        <w:rPr>
          <w:b/>
          <w:color w:val="000080"/>
        </w:rPr>
        <w:tab/>
      </w:r>
      <w:r>
        <w:rPr>
          <w:b/>
          <w:color w:val="000080"/>
        </w:rPr>
        <w:tab/>
        <w:t>28</w:t>
      </w:r>
    </w:p>
    <w:p w:rsidR="00A64035" w:rsidRDefault="00A64035" w:rsidP="00A64035">
      <w:pPr>
        <w:ind w:left="705" w:hanging="705"/>
        <w:rPr>
          <w:b/>
          <w:color w:val="000080"/>
        </w:rPr>
      </w:pPr>
      <w:r>
        <w:rPr>
          <w:b/>
          <w:color w:val="000080"/>
        </w:rPr>
        <w:t>4.5.2</w:t>
      </w:r>
      <w:r>
        <w:rPr>
          <w:b/>
          <w:color w:val="000080"/>
        </w:rPr>
        <w:tab/>
        <w:t>Vývoj nezaměstnanosti</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28</w:t>
      </w:r>
    </w:p>
    <w:p w:rsidR="00A64035" w:rsidRDefault="00A64035" w:rsidP="00A64035">
      <w:pPr>
        <w:ind w:left="705" w:hanging="705"/>
        <w:rPr>
          <w:b/>
          <w:color w:val="000080"/>
        </w:rPr>
      </w:pPr>
      <w:r>
        <w:rPr>
          <w:b/>
          <w:color w:val="000080"/>
        </w:rPr>
        <w:t>4.6</w:t>
      </w:r>
      <w:r>
        <w:rPr>
          <w:b/>
          <w:color w:val="000080"/>
        </w:rPr>
        <w:tab/>
        <w:t>DOPORUČENÍ</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28</w:t>
      </w:r>
    </w:p>
    <w:p w:rsidR="00A64035" w:rsidRDefault="00A64035" w:rsidP="00A64035">
      <w:pPr>
        <w:ind w:left="705" w:hanging="705"/>
        <w:rPr>
          <w:b/>
          <w:color w:val="000080"/>
        </w:rPr>
      </w:pPr>
      <w:r>
        <w:rPr>
          <w:b/>
          <w:color w:val="000080"/>
        </w:rPr>
        <w:t>5</w:t>
      </w:r>
      <w:r>
        <w:rPr>
          <w:b/>
          <w:color w:val="000080"/>
        </w:rPr>
        <w:tab/>
        <w:t>NÁVRH ZDROJŮ FINANCOVÁNÍ PROVOZU ŠKOL</w:t>
      </w:r>
      <w:r>
        <w:rPr>
          <w:b/>
          <w:color w:val="000080"/>
        </w:rPr>
        <w:br/>
        <w:t>A REPRODUKCE INVESTIČNÍHO MAJETKU</w:t>
      </w:r>
      <w:r>
        <w:rPr>
          <w:b/>
          <w:color w:val="000080"/>
        </w:rPr>
        <w:tab/>
      </w:r>
      <w:r>
        <w:rPr>
          <w:b/>
          <w:color w:val="000080"/>
        </w:rPr>
        <w:tab/>
      </w:r>
      <w:r>
        <w:rPr>
          <w:b/>
          <w:color w:val="000080"/>
        </w:rPr>
        <w:tab/>
      </w:r>
      <w:r>
        <w:rPr>
          <w:b/>
          <w:color w:val="000080"/>
        </w:rPr>
        <w:tab/>
      </w:r>
      <w:r>
        <w:rPr>
          <w:b/>
          <w:color w:val="000080"/>
        </w:rPr>
        <w:tab/>
        <w:t>31</w:t>
      </w:r>
    </w:p>
    <w:p w:rsidR="00A64035" w:rsidRDefault="00A64035" w:rsidP="00A64035">
      <w:pPr>
        <w:ind w:left="705" w:hanging="705"/>
        <w:rPr>
          <w:b/>
          <w:color w:val="000080"/>
        </w:rPr>
      </w:pPr>
      <w:r>
        <w:rPr>
          <w:b/>
          <w:color w:val="000080"/>
        </w:rPr>
        <w:t>5.1</w:t>
      </w:r>
      <w:r>
        <w:rPr>
          <w:b/>
          <w:color w:val="000080"/>
        </w:rPr>
        <w:tab/>
        <w:t>PROVOZNÍ PŘÍSPĚVEK</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31</w:t>
      </w:r>
    </w:p>
    <w:p w:rsidR="00A64035" w:rsidRDefault="00A64035" w:rsidP="00A64035">
      <w:pPr>
        <w:ind w:left="705" w:hanging="705"/>
        <w:rPr>
          <w:b/>
          <w:color w:val="000080"/>
        </w:rPr>
      </w:pPr>
      <w:r>
        <w:rPr>
          <w:b/>
          <w:color w:val="000080"/>
        </w:rPr>
        <w:t>5.2</w:t>
      </w:r>
      <w:r>
        <w:rPr>
          <w:b/>
          <w:color w:val="000080"/>
        </w:rPr>
        <w:tab/>
        <w:t>INVESTIČNÍ FOND</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31</w:t>
      </w:r>
    </w:p>
    <w:p w:rsidR="00A64035" w:rsidRDefault="00A64035" w:rsidP="00A64035">
      <w:pPr>
        <w:ind w:left="705" w:hanging="705"/>
        <w:rPr>
          <w:b/>
          <w:color w:val="000080"/>
        </w:rPr>
      </w:pPr>
      <w:r>
        <w:rPr>
          <w:b/>
          <w:color w:val="000080"/>
        </w:rPr>
        <w:t>5.3</w:t>
      </w:r>
      <w:r>
        <w:rPr>
          <w:b/>
          <w:color w:val="000080"/>
        </w:rPr>
        <w:tab/>
        <w:t>FOND OPRAV MAJETKU MĚSTA</w:t>
      </w:r>
      <w:r>
        <w:rPr>
          <w:b/>
          <w:color w:val="000080"/>
        </w:rPr>
        <w:tab/>
      </w:r>
      <w:r>
        <w:rPr>
          <w:b/>
          <w:color w:val="000080"/>
        </w:rPr>
        <w:tab/>
      </w:r>
      <w:r>
        <w:rPr>
          <w:b/>
          <w:color w:val="000080"/>
        </w:rPr>
        <w:tab/>
      </w:r>
      <w:r>
        <w:rPr>
          <w:b/>
          <w:color w:val="000080"/>
        </w:rPr>
        <w:tab/>
      </w:r>
      <w:r>
        <w:rPr>
          <w:b/>
          <w:color w:val="000080"/>
        </w:rPr>
        <w:tab/>
      </w:r>
      <w:r>
        <w:rPr>
          <w:b/>
          <w:color w:val="000080"/>
        </w:rPr>
        <w:tab/>
        <w:t>32</w:t>
      </w:r>
    </w:p>
    <w:p w:rsidR="00A64035" w:rsidRDefault="00A64035" w:rsidP="00A64035">
      <w:pPr>
        <w:ind w:left="705" w:hanging="705"/>
        <w:rPr>
          <w:b/>
          <w:color w:val="000080"/>
        </w:rPr>
      </w:pPr>
      <w:r>
        <w:rPr>
          <w:b/>
          <w:color w:val="000080"/>
        </w:rPr>
        <w:t>5.3.1</w:t>
      </w:r>
      <w:r>
        <w:rPr>
          <w:b/>
          <w:color w:val="000080"/>
        </w:rPr>
        <w:tab/>
        <w:t>Fond oprav</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32</w:t>
      </w:r>
    </w:p>
    <w:p w:rsidR="00A64035" w:rsidRDefault="00A64035" w:rsidP="00A64035">
      <w:pPr>
        <w:ind w:left="705" w:hanging="705"/>
        <w:rPr>
          <w:b/>
          <w:color w:val="000080"/>
        </w:rPr>
      </w:pPr>
      <w:r>
        <w:rPr>
          <w:b/>
          <w:color w:val="000080"/>
        </w:rPr>
        <w:t>5.3.2</w:t>
      </w:r>
      <w:r>
        <w:rPr>
          <w:b/>
          <w:color w:val="000080"/>
        </w:rPr>
        <w:tab/>
        <w:t>Odpisy nemovitého majetku</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32</w:t>
      </w:r>
    </w:p>
    <w:p w:rsidR="00A64035" w:rsidRDefault="00A64035" w:rsidP="00A64035">
      <w:pPr>
        <w:ind w:left="705" w:hanging="705"/>
        <w:rPr>
          <w:b/>
          <w:color w:val="000080"/>
        </w:rPr>
      </w:pPr>
      <w:r>
        <w:rPr>
          <w:b/>
          <w:color w:val="000080"/>
        </w:rPr>
        <w:t>5.4</w:t>
      </w:r>
      <w:r>
        <w:rPr>
          <w:b/>
          <w:color w:val="000080"/>
        </w:rPr>
        <w:tab/>
        <w:t xml:space="preserve">FINANČNÍ PROSTŘEDKY Z DOTAČNÍCH TITULŮ SR, </w:t>
      </w:r>
      <w:r>
        <w:rPr>
          <w:b/>
          <w:color w:val="000080"/>
        </w:rPr>
        <w:br/>
        <w:t>EU, DARY, GRANTY</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33</w:t>
      </w:r>
    </w:p>
    <w:p w:rsidR="00A64035" w:rsidRDefault="00A64035" w:rsidP="00A64035">
      <w:pPr>
        <w:ind w:left="705" w:hanging="705"/>
        <w:rPr>
          <w:b/>
          <w:color w:val="000080"/>
        </w:rPr>
      </w:pPr>
      <w:r>
        <w:rPr>
          <w:b/>
          <w:color w:val="000080"/>
        </w:rPr>
        <w:t xml:space="preserve">5.5 </w:t>
      </w:r>
      <w:r>
        <w:rPr>
          <w:b/>
          <w:color w:val="000080"/>
        </w:rPr>
        <w:tab/>
        <w:t>SHRNUTÍ</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33</w:t>
      </w:r>
    </w:p>
    <w:p w:rsidR="00A64035" w:rsidRDefault="00A64035" w:rsidP="00A64035">
      <w:pPr>
        <w:ind w:left="705" w:hanging="705"/>
        <w:rPr>
          <w:b/>
          <w:color w:val="000080"/>
        </w:rPr>
      </w:pPr>
      <w:r>
        <w:rPr>
          <w:b/>
          <w:color w:val="000080"/>
        </w:rPr>
        <w:t>6</w:t>
      </w:r>
      <w:r>
        <w:rPr>
          <w:b/>
          <w:color w:val="000080"/>
        </w:rPr>
        <w:tab/>
        <w:t>ZÁVĚR</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34</w:t>
      </w:r>
    </w:p>
    <w:p w:rsidR="00A64035" w:rsidRDefault="00A64035" w:rsidP="00A64035">
      <w:pPr>
        <w:ind w:left="705" w:hanging="705"/>
        <w:rPr>
          <w:b/>
          <w:color w:val="000080"/>
        </w:rPr>
      </w:pPr>
      <w:r>
        <w:rPr>
          <w:b/>
          <w:color w:val="000080"/>
        </w:rPr>
        <w:t>7</w:t>
      </w:r>
      <w:r>
        <w:rPr>
          <w:b/>
          <w:color w:val="000080"/>
        </w:rPr>
        <w:tab/>
        <w:t>PŘÍLOHOVÁ ČÁST</w:t>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r>
      <w:r>
        <w:rPr>
          <w:b/>
          <w:color w:val="000080"/>
        </w:rPr>
        <w:tab/>
        <w:t>35</w:t>
      </w:r>
    </w:p>
    <w:p w:rsidR="00A64035" w:rsidRPr="00C15402" w:rsidRDefault="00A64035" w:rsidP="00557F1F">
      <w:pPr>
        <w:pStyle w:val="Nadpis1"/>
        <w:numPr>
          <w:ilvl w:val="0"/>
          <w:numId w:val="3"/>
        </w:numPr>
        <w:jc w:val="left"/>
        <w:rPr>
          <w:szCs w:val="24"/>
        </w:rPr>
      </w:pPr>
      <w:r w:rsidRPr="00C15402">
        <w:rPr>
          <w:szCs w:val="24"/>
        </w:rPr>
        <w:lastRenderedPageBreak/>
        <w:t>ÚVOD</w:t>
      </w:r>
    </w:p>
    <w:p w:rsidR="00A64035" w:rsidRPr="00406C54" w:rsidRDefault="00A64035" w:rsidP="00A64035">
      <w:pPr>
        <w:jc w:val="both"/>
        <w:rPr>
          <w:b/>
        </w:rPr>
      </w:pPr>
    </w:p>
    <w:p w:rsidR="00A64035" w:rsidRPr="00916E20" w:rsidRDefault="00A64035" w:rsidP="00A64035">
      <w:pPr>
        <w:spacing w:line="276" w:lineRule="auto"/>
        <w:jc w:val="both"/>
        <w:rPr>
          <w:sz w:val="22"/>
          <w:szCs w:val="22"/>
        </w:rPr>
      </w:pPr>
      <w:r>
        <w:rPr>
          <w:color w:val="FF0000"/>
          <w:sz w:val="22"/>
          <w:szCs w:val="22"/>
        </w:rPr>
        <w:tab/>
      </w:r>
      <w:r w:rsidRPr="00916E20">
        <w:rPr>
          <w:sz w:val="22"/>
          <w:szCs w:val="22"/>
        </w:rPr>
        <w:t>Dlouhodobý plán rozvoje vzdělávání a vzdělávací soustavy a podpory zaměstnanosti na území města Chomutova do roku 2020 (dále jen „Záměr“) je společným dílem členů Výboru pro výchovu, vzdělávání a zaměstnanost, který zřídilo Zastupitelstvo statutárního města Chomutov</w:t>
      </w:r>
      <w:r>
        <w:rPr>
          <w:sz w:val="22"/>
          <w:szCs w:val="22"/>
        </w:rPr>
        <w:t>a</w:t>
      </w:r>
      <w:r w:rsidRPr="00916E20">
        <w:rPr>
          <w:sz w:val="22"/>
          <w:szCs w:val="22"/>
        </w:rPr>
        <w:t xml:space="preserve"> </w:t>
      </w:r>
      <w:r>
        <w:rPr>
          <w:sz w:val="22"/>
          <w:szCs w:val="22"/>
        </w:rPr>
        <w:t xml:space="preserve">usnesením č. 009/10-N </w:t>
      </w:r>
      <w:r w:rsidRPr="00916E20">
        <w:rPr>
          <w:sz w:val="22"/>
          <w:szCs w:val="22"/>
        </w:rPr>
        <w:t>dne</w:t>
      </w:r>
      <w:r>
        <w:rPr>
          <w:sz w:val="22"/>
          <w:szCs w:val="22"/>
        </w:rPr>
        <w:t xml:space="preserve"> </w:t>
      </w:r>
      <w:proofErr w:type="gramStart"/>
      <w:r>
        <w:rPr>
          <w:sz w:val="22"/>
          <w:szCs w:val="22"/>
        </w:rPr>
        <w:t>22.11.2010</w:t>
      </w:r>
      <w:proofErr w:type="gramEnd"/>
      <w:r w:rsidRPr="00916E20">
        <w:rPr>
          <w:sz w:val="22"/>
          <w:szCs w:val="22"/>
        </w:rPr>
        <w:t xml:space="preserve">. Na zpracování se podíleli pracovníci </w:t>
      </w:r>
      <w:r>
        <w:rPr>
          <w:sz w:val="22"/>
          <w:szCs w:val="22"/>
        </w:rPr>
        <w:t>magistrátu měst</w:t>
      </w:r>
      <w:r w:rsidRPr="00916E20">
        <w:rPr>
          <w:sz w:val="22"/>
          <w:szCs w:val="22"/>
        </w:rPr>
        <w:t>a Chomutov</w:t>
      </w:r>
      <w:r>
        <w:rPr>
          <w:sz w:val="22"/>
          <w:szCs w:val="22"/>
        </w:rPr>
        <w:t>a</w:t>
      </w:r>
      <w:r w:rsidRPr="00916E20">
        <w:rPr>
          <w:sz w:val="22"/>
          <w:szCs w:val="22"/>
        </w:rPr>
        <w:t xml:space="preserve"> a také částečně ředitelé škol se sídlem na území města Chomutova.  </w:t>
      </w:r>
    </w:p>
    <w:p w:rsidR="00A64035" w:rsidRPr="00916E20" w:rsidRDefault="00A64035" w:rsidP="00A64035">
      <w:pPr>
        <w:spacing w:line="276" w:lineRule="auto"/>
        <w:jc w:val="both"/>
        <w:rPr>
          <w:dstrike/>
          <w:sz w:val="22"/>
          <w:szCs w:val="22"/>
        </w:rPr>
      </w:pPr>
      <w:r w:rsidRPr="00916E20">
        <w:rPr>
          <w:sz w:val="22"/>
          <w:szCs w:val="22"/>
        </w:rPr>
        <w:tab/>
        <w:t>Na zpracování úzce spolupracovali členové sociální komise Rady statutárního města Chomutov</w:t>
      </w:r>
      <w:r>
        <w:rPr>
          <w:sz w:val="22"/>
          <w:szCs w:val="22"/>
        </w:rPr>
        <w:t>a</w:t>
      </w:r>
      <w:r w:rsidRPr="00916E20">
        <w:rPr>
          <w:sz w:val="22"/>
          <w:szCs w:val="22"/>
        </w:rPr>
        <w:t xml:space="preserve"> a pracovn</w:t>
      </w:r>
      <w:r>
        <w:rPr>
          <w:sz w:val="22"/>
          <w:szCs w:val="22"/>
        </w:rPr>
        <w:t>í</w:t>
      </w:r>
      <w:r w:rsidRPr="00916E20">
        <w:rPr>
          <w:sz w:val="22"/>
          <w:szCs w:val="22"/>
        </w:rPr>
        <w:t>ci o</w:t>
      </w:r>
      <w:r>
        <w:rPr>
          <w:sz w:val="22"/>
          <w:szCs w:val="22"/>
        </w:rPr>
        <w:t>d</w:t>
      </w:r>
      <w:r w:rsidRPr="00916E20">
        <w:rPr>
          <w:sz w:val="22"/>
          <w:szCs w:val="22"/>
        </w:rPr>
        <w:t>borů příslušných této problematice.</w:t>
      </w:r>
      <w:r w:rsidRPr="00916E20">
        <w:rPr>
          <w:dstrike/>
          <w:sz w:val="22"/>
          <w:szCs w:val="22"/>
        </w:rPr>
        <w:t xml:space="preserve"> </w:t>
      </w:r>
    </w:p>
    <w:p w:rsidR="00A64035" w:rsidRPr="00916E20" w:rsidRDefault="00A64035" w:rsidP="00A64035">
      <w:pPr>
        <w:spacing w:line="276" w:lineRule="auto"/>
        <w:jc w:val="both"/>
        <w:rPr>
          <w:sz w:val="22"/>
          <w:szCs w:val="22"/>
        </w:rPr>
      </w:pPr>
      <w:r w:rsidRPr="00916E20">
        <w:rPr>
          <w:sz w:val="22"/>
          <w:szCs w:val="22"/>
        </w:rPr>
        <w:tab/>
        <w:t xml:space="preserve">Záměr odráží jednak zájmy zřizovatele a klientů, dále pak potřeby a realitu jednotlivých škol a školských zařízení. Současně naznačuje možná a přijatelná řešení v otázkách eliminace nezaměstnanosti.  </w:t>
      </w:r>
    </w:p>
    <w:p w:rsidR="00A64035" w:rsidRPr="00916E20" w:rsidRDefault="00A64035" w:rsidP="00A64035">
      <w:pPr>
        <w:spacing w:line="276" w:lineRule="auto"/>
        <w:jc w:val="both"/>
        <w:rPr>
          <w:sz w:val="22"/>
          <w:szCs w:val="22"/>
        </w:rPr>
      </w:pPr>
      <w:r w:rsidRPr="00916E20">
        <w:rPr>
          <w:sz w:val="22"/>
          <w:szCs w:val="22"/>
        </w:rPr>
        <w:tab/>
        <w:t xml:space="preserve">Záměr byl zpracován analogicky k § 9 odst. 2 zákona č. 561/2004 Sb., o předškolním, základním, středním, vyšším odborném a jiném vzdělávání, ve znění pozdějších předpisů </w:t>
      </w:r>
      <w:r>
        <w:rPr>
          <w:sz w:val="22"/>
          <w:szCs w:val="22"/>
        </w:rPr>
        <w:br/>
      </w:r>
      <w:r w:rsidRPr="00916E20">
        <w:rPr>
          <w:sz w:val="22"/>
          <w:szCs w:val="22"/>
        </w:rPr>
        <w:t>a jeho struktura vychází z ustanovení § 2 vyhlášky MŠMT č.15/2005 Sb., kterou se stanoví náležitosti dlouhodobých záměrů, výročních zpráv a vlastního hodnocení školy.</w:t>
      </w:r>
    </w:p>
    <w:p w:rsidR="00A64035" w:rsidRPr="00916E20" w:rsidRDefault="00A64035" w:rsidP="00A64035">
      <w:pPr>
        <w:spacing w:line="276" w:lineRule="auto"/>
        <w:jc w:val="both"/>
        <w:rPr>
          <w:sz w:val="22"/>
          <w:szCs w:val="22"/>
        </w:rPr>
      </w:pPr>
      <w:r w:rsidRPr="00916E20">
        <w:rPr>
          <w:sz w:val="22"/>
          <w:szCs w:val="22"/>
        </w:rPr>
        <w:tab/>
        <w:t xml:space="preserve">Při tvorbě Záměru vycházeli autoři především: z Dlouhodobého záměru vzdělávání </w:t>
      </w:r>
      <w:r>
        <w:rPr>
          <w:sz w:val="22"/>
          <w:szCs w:val="22"/>
        </w:rPr>
        <w:br/>
      </w:r>
      <w:r w:rsidRPr="00916E20">
        <w:rPr>
          <w:sz w:val="22"/>
          <w:szCs w:val="22"/>
        </w:rPr>
        <w:t>a rozvoje výchovně vzdělávací soustavy České republiky, vydaného MŠMT v roce 2011, z Dlouhodobého záměru</w:t>
      </w:r>
      <w:r>
        <w:rPr>
          <w:sz w:val="22"/>
          <w:szCs w:val="22"/>
        </w:rPr>
        <w:t xml:space="preserve"> a rozvoje vzdělávací soustavy v Ústeckém kraji</w:t>
      </w:r>
      <w:r w:rsidRPr="00916E20">
        <w:rPr>
          <w:sz w:val="22"/>
          <w:szCs w:val="22"/>
        </w:rPr>
        <w:t>,</w:t>
      </w:r>
      <w:r>
        <w:rPr>
          <w:sz w:val="22"/>
          <w:szCs w:val="22"/>
        </w:rPr>
        <w:t xml:space="preserve"> </w:t>
      </w:r>
      <w:r w:rsidRPr="00916E20">
        <w:rPr>
          <w:sz w:val="22"/>
          <w:szCs w:val="22"/>
        </w:rPr>
        <w:t xml:space="preserve">z Národního programu reforem, ze statistických, demografických a ekonomických dat charakterizujících školskou soustavu Ústeckého kraje. Dále pak z analýz stavu a vývoje trhu práce v Ústeckém kraji. </w:t>
      </w:r>
    </w:p>
    <w:p w:rsidR="00A64035" w:rsidRDefault="00A64035" w:rsidP="00A64035">
      <w:pPr>
        <w:spacing w:line="276" w:lineRule="auto"/>
        <w:jc w:val="both"/>
        <w:rPr>
          <w:sz w:val="22"/>
          <w:szCs w:val="22"/>
        </w:rPr>
      </w:pPr>
      <w:r w:rsidRPr="00916E20">
        <w:rPr>
          <w:sz w:val="22"/>
          <w:szCs w:val="22"/>
        </w:rPr>
        <w:tab/>
        <w:t>Cílem Záměru je vytvořit, resp. podpořit a stabilizovat moderní a efektivní vzdělávací soustav</w:t>
      </w:r>
      <w:r>
        <w:rPr>
          <w:sz w:val="22"/>
          <w:szCs w:val="22"/>
        </w:rPr>
        <w:t>u</w:t>
      </w:r>
      <w:r w:rsidRPr="00916E20">
        <w:rPr>
          <w:sz w:val="22"/>
          <w:szCs w:val="22"/>
        </w:rPr>
        <w:t>, která bude odpovídat svou strukturou a objem</w:t>
      </w:r>
      <w:r>
        <w:rPr>
          <w:sz w:val="22"/>
          <w:szCs w:val="22"/>
        </w:rPr>
        <w:t>em</w:t>
      </w:r>
      <w:r w:rsidRPr="00916E20">
        <w:rPr>
          <w:sz w:val="22"/>
          <w:szCs w:val="22"/>
        </w:rPr>
        <w:t xml:space="preserve"> budoucím předpokládaným potřebám statutárního města Chomutov</w:t>
      </w:r>
      <w:r>
        <w:rPr>
          <w:sz w:val="22"/>
          <w:szCs w:val="22"/>
        </w:rPr>
        <w:t>a</w:t>
      </w:r>
      <w:r w:rsidRPr="00916E20">
        <w:rPr>
          <w:sz w:val="22"/>
          <w:szCs w:val="22"/>
        </w:rPr>
        <w:t xml:space="preserve">. </w:t>
      </w: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Default="00A64035" w:rsidP="00A64035">
      <w:pPr>
        <w:spacing w:line="276" w:lineRule="auto"/>
        <w:jc w:val="both"/>
        <w:rPr>
          <w:sz w:val="22"/>
          <w:szCs w:val="22"/>
        </w:rPr>
      </w:pPr>
    </w:p>
    <w:p w:rsidR="00A64035" w:rsidRPr="00C15402" w:rsidRDefault="00A64035" w:rsidP="00557F1F">
      <w:pPr>
        <w:pStyle w:val="Nadpis1"/>
        <w:numPr>
          <w:ilvl w:val="0"/>
          <w:numId w:val="3"/>
        </w:numPr>
        <w:jc w:val="left"/>
        <w:rPr>
          <w:szCs w:val="24"/>
        </w:rPr>
      </w:pPr>
      <w:r>
        <w:rPr>
          <w:szCs w:val="24"/>
        </w:rPr>
        <w:lastRenderedPageBreak/>
        <w:t xml:space="preserve">STRUČNÁ CHARAKTERISTIKA PŘEDCHOZÍHO OBDOBÍ  </w:t>
      </w:r>
    </w:p>
    <w:p w:rsidR="00A64035" w:rsidRDefault="00A64035" w:rsidP="00A64035">
      <w:pPr>
        <w:spacing w:line="276" w:lineRule="auto"/>
        <w:jc w:val="both"/>
        <w:rPr>
          <w:sz w:val="22"/>
          <w:szCs w:val="22"/>
        </w:rPr>
      </w:pPr>
    </w:p>
    <w:p w:rsidR="00A64035" w:rsidRPr="00657668" w:rsidRDefault="00A64035" w:rsidP="00A64035">
      <w:pPr>
        <w:spacing w:line="276" w:lineRule="auto"/>
        <w:jc w:val="both"/>
        <w:rPr>
          <w:sz w:val="22"/>
          <w:szCs w:val="22"/>
        </w:rPr>
      </w:pPr>
      <w:r>
        <w:rPr>
          <w:sz w:val="22"/>
          <w:szCs w:val="22"/>
        </w:rPr>
        <w:tab/>
      </w:r>
      <w:r w:rsidRPr="00657668">
        <w:rPr>
          <w:sz w:val="22"/>
          <w:szCs w:val="22"/>
        </w:rPr>
        <w:t>Pro okres Chomutov byl rok 2010 příznivý v tom, že zaznamenal nejvyšší celkový přírůstek obyvatel (780). Údaje</w:t>
      </w:r>
      <w:r>
        <w:rPr>
          <w:sz w:val="22"/>
          <w:szCs w:val="22"/>
        </w:rPr>
        <w:t xml:space="preserve"> k </w:t>
      </w:r>
      <w:proofErr w:type="gramStart"/>
      <w:r>
        <w:rPr>
          <w:sz w:val="22"/>
          <w:szCs w:val="22"/>
        </w:rPr>
        <w:t>01.01.2012</w:t>
      </w:r>
      <w:proofErr w:type="gramEnd"/>
      <w:r>
        <w:rPr>
          <w:sz w:val="22"/>
          <w:szCs w:val="22"/>
        </w:rPr>
        <w:t xml:space="preserve"> h</w:t>
      </w:r>
      <w:r w:rsidRPr="00657668">
        <w:rPr>
          <w:sz w:val="22"/>
          <w:szCs w:val="22"/>
        </w:rPr>
        <w:t xml:space="preserve">ovoří, že </w:t>
      </w:r>
      <w:r>
        <w:rPr>
          <w:sz w:val="22"/>
          <w:szCs w:val="22"/>
        </w:rPr>
        <w:t>v</w:t>
      </w:r>
      <w:r w:rsidRPr="00657668">
        <w:rPr>
          <w:sz w:val="22"/>
          <w:szCs w:val="22"/>
        </w:rPr>
        <w:t xml:space="preserve">e spádové oblasti města Chomutova jako obce s rozšířenou působností </w:t>
      </w:r>
      <w:r>
        <w:rPr>
          <w:sz w:val="22"/>
          <w:szCs w:val="22"/>
        </w:rPr>
        <w:t>ži</w:t>
      </w:r>
      <w:r w:rsidRPr="00657668">
        <w:rPr>
          <w:sz w:val="22"/>
          <w:szCs w:val="22"/>
        </w:rPr>
        <w:t xml:space="preserve">je </w:t>
      </w:r>
      <w:r>
        <w:rPr>
          <w:sz w:val="22"/>
          <w:szCs w:val="22"/>
        </w:rPr>
        <w:t xml:space="preserve">85 067 </w:t>
      </w:r>
      <w:r w:rsidRPr="00657668">
        <w:rPr>
          <w:sz w:val="22"/>
          <w:szCs w:val="22"/>
        </w:rPr>
        <w:t>obyvatel</w:t>
      </w:r>
      <w:r>
        <w:rPr>
          <w:sz w:val="22"/>
          <w:szCs w:val="22"/>
        </w:rPr>
        <w:t xml:space="preserve">, přičemž město </w:t>
      </w:r>
      <w:r w:rsidRPr="00657668">
        <w:rPr>
          <w:sz w:val="22"/>
          <w:szCs w:val="22"/>
        </w:rPr>
        <w:t>Chomutov má 5</w:t>
      </w:r>
      <w:r>
        <w:rPr>
          <w:sz w:val="22"/>
          <w:szCs w:val="22"/>
        </w:rPr>
        <w:t xml:space="preserve">1 400 </w:t>
      </w:r>
      <w:r w:rsidRPr="00657668">
        <w:rPr>
          <w:sz w:val="22"/>
          <w:szCs w:val="22"/>
        </w:rPr>
        <w:t>obyvatel. Významný je také pro další rozvoj podle Záměru počet obyvatel sousedního města Jirkova</w:t>
      </w:r>
      <w:r>
        <w:rPr>
          <w:sz w:val="22"/>
          <w:szCs w:val="22"/>
        </w:rPr>
        <w:t>, kde je 21 228</w:t>
      </w:r>
      <w:r w:rsidRPr="00657668">
        <w:rPr>
          <w:sz w:val="22"/>
          <w:szCs w:val="22"/>
        </w:rPr>
        <w:t xml:space="preserve"> obyvatel.</w:t>
      </w:r>
    </w:p>
    <w:p w:rsidR="00A64035" w:rsidRPr="00657668" w:rsidRDefault="00A64035" w:rsidP="00A64035">
      <w:pPr>
        <w:keepNext/>
        <w:spacing w:line="276" w:lineRule="auto"/>
        <w:jc w:val="both"/>
        <w:rPr>
          <w:sz w:val="22"/>
          <w:szCs w:val="22"/>
        </w:rPr>
      </w:pPr>
      <w:r w:rsidRPr="00657668">
        <w:rPr>
          <w:sz w:val="22"/>
          <w:szCs w:val="22"/>
        </w:rPr>
        <w:tab/>
        <w:t>Typické pro vzdělanostní strukturu v Chomutově je výraznější podíl osob v nižších vzdělanostních kategoriích, to znamená, že jsou bez vzdělání, popřípadě pouze s ukončeným základním vzděláním. Dalším rysem této struktury je výrazně menší počet vysokoškolsky vzdělaných lidí.</w:t>
      </w:r>
    </w:p>
    <w:p w:rsidR="00A64035" w:rsidRPr="00657668" w:rsidRDefault="00A64035" w:rsidP="00A64035">
      <w:pPr>
        <w:keepNext/>
        <w:spacing w:line="276" w:lineRule="auto"/>
        <w:jc w:val="both"/>
        <w:rPr>
          <w:sz w:val="22"/>
          <w:szCs w:val="22"/>
        </w:rPr>
      </w:pPr>
      <w:r w:rsidRPr="00657668">
        <w:rPr>
          <w:sz w:val="22"/>
          <w:szCs w:val="22"/>
        </w:rPr>
        <w:tab/>
        <w:t>Výše uvedená fakta naznačují, že zvýšená pozornost a podpora v oblasti vzdělávání musí být změřena na osoby, které nemají řádně ukončen</w:t>
      </w:r>
      <w:r>
        <w:rPr>
          <w:sz w:val="22"/>
          <w:szCs w:val="22"/>
        </w:rPr>
        <w:t>é</w:t>
      </w:r>
      <w:r w:rsidRPr="00657668">
        <w:rPr>
          <w:sz w:val="22"/>
          <w:szCs w:val="22"/>
        </w:rPr>
        <w:t xml:space="preserve"> základní vzdělání (nemohou získat následně vyšší stupeň vzdělání) a dále na osoby, které sice určitého vzdělání dosáhly, ale jejich znalosti a dovednosti již plně neodpovídají potřebám současného trhu práce. Zároveň je nutné eliminovat předčasné odchody ze vzdělá</w:t>
      </w:r>
      <w:r>
        <w:rPr>
          <w:sz w:val="22"/>
          <w:szCs w:val="22"/>
        </w:rPr>
        <w:t>vá</w:t>
      </w:r>
      <w:r w:rsidRPr="00657668">
        <w:rPr>
          <w:sz w:val="22"/>
          <w:szCs w:val="22"/>
        </w:rPr>
        <w:t xml:space="preserve">ní tak, aby se snížila míra žáků, kteří vstupují do života s handicapem nedokončeného stupně vzdělání. </w:t>
      </w:r>
    </w:p>
    <w:p w:rsidR="00A64035" w:rsidRPr="00765D01" w:rsidRDefault="00A64035" w:rsidP="00A64035">
      <w:pPr>
        <w:spacing w:line="276" w:lineRule="auto"/>
        <w:jc w:val="both"/>
        <w:rPr>
          <w:sz w:val="22"/>
          <w:szCs w:val="22"/>
        </w:rPr>
      </w:pPr>
      <w:r w:rsidRPr="00657668">
        <w:rPr>
          <w:sz w:val="22"/>
          <w:szCs w:val="22"/>
        </w:rPr>
        <w:tab/>
        <w:t xml:space="preserve">Velkým problémem, který je také ovlivněn výše uvedenou vzdělanostní strukturou, je trvalá vysoká míra registrované nezaměstnanosti jak v Chomutově a jeho okolí, tak i v celém Ústeckém kraji. V České republice činila míra nezaměstnanosti </w:t>
      </w:r>
      <w:r w:rsidRPr="00765D01">
        <w:rPr>
          <w:sz w:val="22"/>
          <w:szCs w:val="22"/>
        </w:rPr>
        <w:t xml:space="preserve">(podíl nezaměstnaných </w:t>
      </w:r>
      <w:r w:rsidRPr="00765D01">
        <w:rPr>
          <w:sz w:val="22"/>
          <w:szCs w:val="22"/>
        </w:rPr>
        <w:br/>
        <w:t>na celkové pracovní síle) v roce 2011 8,6 %, v okrese Chomutov k 31.12.2011 13,2 %, což představuje 8</w:t>
      </w:r>
      <w:r>
        <w:rPr>
          <w:sz w:val="22"/>
          <w:szCs w:val="22"/>
        </w:rPr>
        <w:t xml:space="preserve"> </w:t>
      </w:r>
      <w:r w:rsidRPr="00765D01">
        <w:rPr>
          <w:sz w:val="22"/>
          <w:szCs w:val="22"/>
        </w:rPr>
        <w:t>919 práce schopných (dostupných) kapacit (v ČR 491</w:t>
      </w:r>
      <w:r>
        <w:rPr>
          <w:sz w:val="22"/>
          <w:szCs w:val="22"/>
        </w:rPr>
        <w:t xml:space="preserve"> </w:t>
      </w:r>
      <w:r w:rsidRPr="00765D01">
        <w:rPr>
          <w:sz w:val="22"/>
          <w:szCs w:val="22"/>
        </w:rPr>
        <w:t>958).  K uvedenému datu (</w:t>
      </w:r>
      <w:proofErr w:type="gramStart"/>
      <w:r w:rsidRPr="00765D01">
        <w:rPr>
          <w:sz w:val="22"/>
          <w:szCs w:val="22"/>
        </w:rPr>
        <w:t>31.12.2011</w:t>
      </w:r>
      <w:proofErr w:type="gramEnd"/>
      <w:r w:rsidRPr="00765D01">
        <w:rPr>
          <w:sz w:val="22"/>
          <w:szCs w:val="22"/>
        </w:rPr>
        <w:t>) bylo evidováno pouhých 298 (v ČR 35</w:t>
      </w:r>
      <w:r>
        <w:rPr>
          <w:sz w:val="22"/>
          <w:szCs w:val="22"/>
        </w:rPr>
        <w:t xml:space="preserve"> </w:t>
      </w:r>
      <w:r w:rsidRPr="00765D01">
        <w:rPr>
          <w:sz w:val="22"/>
          <w:szCs w:val="22"/>
        </w:rPr>
        <w:t>784) volných pracovních míst.</w:t>
      </w:r>
    </w:p>
    <w:p w:rsidR="00A64035" w:rsidRPr="00657668" w:rsidRDefault="00A64035" w:rsidP="00A64035">
      <w:pPr>
        <w:spacing w:line="276" w:lineRule="auto"/>
        <w:jc w:val="both"/>
        <w:rPr>
          <w:sz w:val="22"/>
          <w:szCs w:val="22"/>
        </w:rPr>
      </w:pPr>
      <w:r w:rsidRPr="00765D01">
        <w:rPr>
          <w:sz w:val="22"/>
          <w:szCs w:val="22"/>
        </w:rPr>
        <w:tab/>
        <w:t>V Chomutově je počet pracovních příležitostí silně ovlivněn nerostným bohatstvím</w:t>
      </w:r>
      <w:r w:rsidRPr="00657668">
        <w:rPr>
          <w:sz w:val="22"/>
          <w:szCs w:val="22"/>
        </w:rPr>
        <w:t xml:space="preserve"> </w:t>
      </w:r>
      <w:r>
        <w:rPr>
          <w:sz w:val="22"/>
          <w:szCs w:val="22"/>
        </w:rPr>
        <w:br/>
      </w:r>
      <w:r w:rsidRPr="00657668">
        <w:rPr>
          <w:sz w:val="22"/>
          <w:szCs w:val="22"/>
        </w:rPr>
        <w:t>a rozvojem průmyslu po druhé světové válce. Historie města je spojena s těžkým průmyslem, energetikou, hutnictvím a hnědouheln</w:t>
      </w:r>
      <w:r>
        <w:rPr>
          <w:sz w:val="22"/>
          <w:szCs w:val="22"/>
        </w:rPr>
        <w:t>ou</w:t>
      </w:r>
      <w:r w:rsidRPr="00657668">
        <w:rPr>
          <w:sz w:val="22"/>
          <w:szCs w:val="22"/>
        </w:rPr>
        <w:t xml:space="preserve"> těžb</w:t>
      </w:r>
      <w:r>
        <w:rPr>
          <w:sz w:val="22"/>
          <w:szCs w:val="22"/>
        </w:rPr>
        <w:t>ou</w:t>
      </w:r>
      <w:r w:rsidRPr="00657668">
        <w:rPr>
          <w:sz w:val="22"/>
          <w:szCs w:val="22"/>
        </w:rPr>
        <w:t>. Největším zaměstnavatelem v podnikatelské sféře jsou i dnes Severočeské doly, a.s.</w:t>
      </w:r>
    </w:p>
    <w:p w:rsidR="00A64035" w:rsidRPr="00657668" w:rsidRDefault="00A64035" w:rsidP="00A64035">
      <w:pPr>
        <w:spacing w:line="276" w:lineRule="auto"/>
        <w:jc w:val="both"/>
        <w:rPr>
          <w:sz w:val="22"/>
          <w:szCs w:val="22"/>
        </w:rPr>
      </w:pPr>
      <w:r w:rsidRPr="00657668">
        <w:rPr>
          <w:sz w:val="22"/>
          <w:szCs w:val="22"/>
        </w:rPr>
        <w:tab/>
        <w:t>Přechod z těžkého na lehký průmysl značně negativně ovlivnil počet pracovních míst. Další úbytek míst nastal po pádu socialismu. Celosvětová hospodářská krize tuto skutečnost ještě prohloubila. Na Chomutovsku v červnu 2008 úřad práce evidoval 1 531 volných pracovních míst. V roce 2009 to bylo pouze 393 volných míst.</w:t>
      </w:r>
    </w:p>
    <w:p w:rsidR="00A64035" w:rsidRPr="00657668" w:rsidRDefault="00A64035" w:rsidP="00A64035">
      <w:pPr>
        <w:spacing w:line="276" w:lineRule="auto"/>
        <w:jc w:val="both"/>
        <w:rPr>
          <w:sz w:val="22"/>
          <w:szCs w:val="22"/>
        </w:rPr>
      </w:pPr>
      <w:r w:rsidRPr="00657668">
        <w:rPr>
          <w:sz w:val="22"/>
          <w:szCs w:val="22"/>
        </w:rPr>
        <w:tab/>
        <w:t>Výchovně vzdělávací soustavou statutárního města Chomutova se rozumí systém škol a školských zařízení působících v</w:t>
      </w:r>
      <w:r>
        <w:rPr>
          <w:sz w:val="22"/>
          <w:szCs w:val="22"/>
        </w:rPr>
        <w:t> </w:t>
      </w:r>
      <w:r w:rsidRPr="00657668">
        <w:rPr>
          <w:sz w:val="22"/>
          <w:szCs w:val="22"/>
        </w:rPr>
        <w:t>Chomutově</w:t>
      </w:r>
      <w:r>
        <w:rPr>
          <w:sz w:val="22"/>
          <w:szCs w:val="22"/>
        </w:rPr>
        <w:t>, které jsou zřizovány</w:t>
      </w:r>
      <w:r w:rsidRPr="00657668">
        <w:rPr>
          <w:sz w:val="22"/>
          <w:szCs w:val="22"/>
        </w:rPr>
        <w:t xml:space="preserve"> statutárním městem Chomutov</w:t>
      </w:r>
      <w:r>
        <w:rPr>
          <w:sz w:val="22"/>
          <w:szCs w:val="22"/>
        </w:rPr>
        <w:t>em</w:t>
      </w:r>
      <w:r w:rsidRPr="00657668">
        <w:rPr>
          <w:sz w:val="22"/>
          <w:szCs w:val="22"/>
        </w:rPr>
        <w:t xml:space="preserve">, Ústeckým krajem či dalšími právnickými nebo fyzickými osobami. </w:t>
      </w:r>
    </w:p>
    <w:p w:rsidR="00A64035" w:rsidRPr="00657668" w:rsidRDefault="00A64035" w:rsidP="00A64035">
      <w:pPr>
        <w:spacing w:line="276" w:lineRule="auto"/>
        <w:jc w:val="both"/>
        <w:rPr>
          <w:sz w:val="22"/>
          <w:szCs w:val="22"/>
        </w:rPr>
      </w:pPr>
      <w:r w:rsidRPr="00657668">
        <w:rPr>
          <w:sz w:val="22"/>
          <w:szCs w:val="22"/>
        </w:rPr>
        <w:t xml:space="preserve">Tento záměr se nevěnuje pouze </w:t>
      </w:r>
      <w:r>
        <w:rPr>
          <w:sz w:val="22"/>
          <w:szCs w:val="22"/>
        </w:rPr>
        <w:t xml:space="preserve">školám </w:t>
      </w:r>
      <w:r w:rsidRPr="00657668">
        <w:rPr>
          <w:sz w:val="22"/>
          <w:szCs w:val="22"/>
        </w:rPr>
        <w:t>zřizovaným statutárním městem Chomutov</w:t>
      </w:r>
      <w:r>
        <w:rPr>
          <w:sz w:val="22"/>
          <w:szCs w:val="22"/>
        </w:rPr>
        <w:t>em</w:t>
      </w:r>
      <w:r w:rsidRPr="00657668">
        <w:rPr>
          <w:sz w:val="22"/>
          <w:szCs w:val="22"/>
        </w:rPr>
        <w:t xml:space="preserve">, ale </w:t>
      </w:r>
      <w:r>
        <w:rPr>
          <w:sz w:val="22"/>
          <w:szCs w:val="22"/>
        </w:rPr>
        <w:br/>
      </w:r>
      <w:r w:rsidRPr="00657668">
        <w:rPr>
          <w:sz w:val="22"/>
          <w:szCs w:val="22"/>
        </w:rPr>
        <w:t xml:space="preserve">i </w:t>
      </w:r>
      <w:r>
        <w:rPr>
          <w:sz w:val="22"/>
          <w:szCs w:val="22"/>
        </w:rPr>
        <w:t xml:space="preserve">školám a školským zařízením </w:t>
      </w:r>
      <w:r w:rsidRPr="00657668">
        <w:rPr>
          <w:sz w:val="22"/>
          <w:szCs w:val="22"/>
        </w:rPr>
        <w:t xml:space="preserve">jiných zřizovatelů, protože bez zřetele na </w:t>
      </w:r>
      <w:r>
        <w:rPr>
          <w:sz w:val="22"/>
          <w:szCs w:val="22"/>
        </w:rPr>
        <w:t xml:space="preserve">tyto </w:t>
      </w:r>
      <w:r w:rsidRPr="00657668">
        <w:rPr>
          <w:sz w:val="22"/>
          <w:szCs w:val="22"/>
        </w:rPr>
        <w:t>by byl model výchovně-vzdělávací soustavy neúplný. Faktem ale je, že některá koncepční doporučení, která se týkají škol a školských zařízení jiného zřizovatele, mohou být naplňována pouze nepřímo a vliv orgánů statutárního města Chomutova na jejich činnost je pouze zprostředkovaný.</w:t>
      </w:r>
    </w:p>
    <w:p w:rsidR="00A64035" w:rsidRDefault="00A64035" w:rsidP="00A64035">
      <w:pPr>
        <w:jc w:val="both"/>
      </w:pPr>
      <w:r w:rsidRPr="00406C54">
        <w:t xml:space="preserve">    </w:t>
      </w:r>
      <w:r w:rsidRPr="00406C54">
        <w:tab/>
      </w:r>
    </w:p>
    <w:p w:rsidR="00A64035" w:rsidRDefault="00A64035" w:rsidP="00A64035">
      <w:pPr>
        <w:jc w:val="both"/>
      </w:pPr>
    </w:p>
    <w:p w:rsidR="00A64035" w:rsidRDefault="00A64035" w:rsidP="00A64035">
      <w:pPr>
        <w:jc w:val="both"/>
      </w:pPr>
    </w:p>
    <w:p w:rsidR="00A64035" w:rsidRDefault="00A64035" w:rsidP="00A64035">
      <w:pPr>
        <w:jc w:val="both"/>
      </w:pPr>
    </w:p>
    <w:p w:rsidR="00A64035" w:rsidRPr="00211BB8" w:rsidRDefault="00A64035" w:rsidP="00557F1F">
      <w:pPr>
        <w:pStyle w:val="Nadpis1"/>
        <w:numPr>
          <w:ilvl w:val="0"/>
          <w:numId w:val="3"/>
        </w:numPr>
        <w:jc w:val="left"/>
        <w:rPr>
          <w:szCs w:val="24"/>
        </w:rPr>
      </w:pPr>
      <w:r w:rsidRPr="00211BB8">
        <w:rPr>
          <w:szCs w:val="24"/>
        </w:rPr>
        <w:lastRenderedPageBreak/>
        <w:t>VÝCHOVNĚ - VZDĚLÁVACÍ SOUSTAVA MĚSTA CHOMUTOVA</w:t>
      </w:r>
    </w:p>
    <w:p w:rsidR="00A64035" w:rsidRPr="00F12836" w:rsidRDefault="00A64035" w:rsidP="00557F1F">
      <w:pPr>
        <w:pStyle w:val="Nadpis2"/>
        <w:numPr>
          <w:ilvl w:val="1"/>
          <w:numId w:val="3"/>
        </w:numPr>
        <w:rPr>
          <w:szCs w:val="22"/>
        </w:rPr>
      </w:pPr>
      <w:r w:rsidRPr="00F12836">
        <w:rPr>
          <w:szCs w:val="22"/>
        </w:rPr>
        <w:t>PŘEDŠKOLNÍ VZDĚLÁVÁNÍ</w:t>
      </w:r>
    </w:p>
    <w:p w:rsidR="00A64035" w:rsidRPr="00211BB8" w:rsidRDefault="00A64035" w:rsidP="0075074A">
      <w:pPr>
        <w:pStyle w:val="Nadpis3"/>
      </w:pPr>
      <w:r w:rsidRPr="00211BB8">
        <w:t xml:space="preserve">Mateřské školy </w:t>
      </w:r>
    </w:p>
    <w:p w:rsidR="00A64035" w:rsidRPr="00211BB8" w:rsidRDefault="00A64035" w:rsidP="00A64035">
      <w:pPr>
        <w:rPr>
          <w:sz w:val="22"/>
          <w:szCs w:val="22"/>
        </w:rPr>
      </w:pPr>
      <w:r w:rsidRPr="00211BB8">
        <w:rPr>
          <w:sz w:val="22"/>
          <w:szCs w:val="22"/>
        </w:rPr>
        <w:br/>
        <w:t>Statutární město Chomutov zřizuje 3 právní subjekty, které organizují předškolní vzdělávání pro děti ve věku zpravidla od tří do šesti let.</w:t>
      </w:r>
    </w:p>
    <w:p w:rsidR="00A64035" w:rsidRPr="00657668" w:rsidRDefault="00A64035" w:rsidP="00557F1F">
      <w:pPr>
        <w:pStyle w:val="Odstavecseseznamem"/>
        <w:numPr>
          <w:ilvl w:val="0"/>
          <w:numId w:val="2"/>
        </w:numPr>
        <w:spacing w:after="200" w:line="276" w:lineRule="auto"/>
        <w:contextualSpacing/>
        <w:rPr>
          <w:rFonts w:ascii="Arial" w:hAnsi="Arial" w:cs="Arial"/>
          <w:sz w:val="22"/>
          <w:szCs w:val="22"/>
        </w:rPr>
      </w:pPr>
      <w:r w:rsidRPr="00211BB8">
        <w:rPr>
          <w:rFonts w:ascii="Arial" w:hAnsi="Arial" w:cs="Arial"/>
          <w:sz w:val="22"/>
          <w:szCs w:val="22"/>
        </w:rPr>
        <w:t>Ke dni 1. ledna 2003 sloučením patnácti zálohových organizací vznikl právní subjekt</w:t>
      </w:r>
      <w:r w:rsidRPr="00657668">
        <w:rPr>
          <w:rFonts w:ascii="Arial" w:hAnsi="Arial" w:cs="Arial"/>
          <w:sz w:val="22"/>
          <w:szCs w:val="22"/>
        </w:rPr>
        <w:t xml:space="preserve"> Mateřská škola Chomutov, Šafaříkova 4335, příspěvková organizace. V rámci optimalizace sítě škol a školských zařízení byl počet odloučených pracovišť upraven na stávajících 13. </w:t>
      </w:r>
    </w:p>
    <w:p w:rsidR="00A64035" w:rsidRPr="00657668" w:rsidRDefault="00A64035" w:rsidP="00557F1F">
      <w:pPr>
        <w:pStyle w:val="Odstavecseseznamem"/>
        <w:numPr>
          <w:ilvl w:val="0"/>
          <w:numId w:val="2"/>
        </w:numPr>
        <w:spacing w:after="200" w:line="276" w:lineRule="auto"/>
        <w:contextualSpacing/>
        <w:rPr>
          <w:rFonts w:ascii="Arial" w:hAnsi="Arial" w:cs="Arial"/>
          <w:i/>
          <w:sz w:val="22"/>
          <w:szCs w:val="22"/>
        </w:rPr>
      </w:pPr>
      <w:r w:rsidRPr="00657668">
        <w:rPr>
          <w:rFonts w:ascii="Arial" w:hAnsi="Arial" w:cs="Arial"/>
          <w:sz w:val="22"/>
          <w:szCs w:val="22"/>
        </w:rPr>
        <w:t>Dalším subjektem poskytujícím předškolní vzdělávání je Základní škola a Mateřská škola, Chomutov, 17. listopadu 4728, příspěvková organizace, jejíž součástí je mateřská škola umístěná v</w:t>
      </w:r>
      <w:r>
        <w:rPr>
          <w:rFonts w:ascii="Arial" w:hAnsi="Arial" w:cs="Arial"/>
          <w:sz w:val="22"/>
          <w:szCs w:val="22"/>
        </w:rPr>
        <w:t> chomutovské nemocnici</w:t>
      </w:r>
      <w:r w:rsidRPr="00657668">
        <w:rPr>
          <w:rFonts w:ascii="Arial" w:hAnsi="Arial" w:cs="Arial"/>
          <w:sz w:val="22"/>
          <w:szCs w:val="22"/>
        </w:rPr>
        <w:t xml:space="preserve">. Základem činnosti mateřské školy je všestranná péče o děti předškolního věku, péče o děti mentálně, smyslově nebo tělesně postižené nebo o děti s vadami řeči, děti s více vadami a o děti nemocné nebo zdravotně oslabené umístěné ve zdravotnickém zařízení. Provozována je jedna speciální třída s kapacitou patnácti dětí. </w:t>
      </w:r>
    </w:p>
    <w:p w:rsidR="00A64035" w:rsidRPr="00D677F7" w:rsidRDefault="00A64035" w:rsidP="00557F1F">
      <w:pPr>
        <w:pStyle w:val="Odstavecseseznamem"/>
        <w:numPr>
          <w:ilvl w:val="0"/>
          <w:numId w:val="2"/>
        </w:numPr>
        <w:spacing w:after="200" w:line="276" w:lineRule="auto"/>
        <w:contextualSpacing/>
        <w:rPr>
          <w:rFonts w:ascii="Arial" w:hAnsi="Arial" w:cs="Arial"/>
          <w:i/>
          <w:sz w:val="22"/>
          <w:szCs w:val="22"/>
        </w:rPr>
      </w:pPr>
      <w:r w:rsidRPr="00657668">
        <w:rPr>
          <w:rFonts w:ascii="Arial" w:hAnsi="Arial" w:cs="Arial"/>
          <w:sz w:val="22"/>
          <w:szCs w:val="22"/>
        </w:rPr>
        <w:t xml:space="preserve">Třetím právním subjektem provozujícím mateřskou školu je Základní škola speciální </w:t>
      </w:r>
      <w:r>
        <w:rPr>
          <w:rFonts w:ascii="Arial" w:hAnsi="Arial" w:cs="Arial"/>
          <w:sz w:val="22"/>
          <w:szCs w:val="22"/>
        </w:rPr>
        <w:br/>
      </w:r>
      <w:r w:rsidRPr="00657668">
        <w:rPr>
          <w:rFonts w:ascii="Arial" w:hAnsi="Arial" w:cs="Arial"/>
          <w:sz w:val="22"/>
          <w:szCs w:val="22"/>
        </w:rPr>
        <w:t>a Mateřská škola, Chomutov, Palachova 4881, příspěvková organizace. Z pěti tříd je jedna určena pro děti se speciálními vzdělávacími potřebami.</w:t>
      </w:r>
      <w:r w:rsidRPr="00657668">
        <w:rPr>
          <w:i/>
          <w:sz w:val="22"/>
          <w:szCs w:val="22"/>
        </w:rPr>
        <w:t xml:space="preserve"> </w:t>
      </w:r>
      <w:r w:rsidRPr="00657668">
        <w:rPr>
          <w:i/>
          <w:sz w:val="22"/>
          <w:szCs w:val="22"/>
        </w:rPr>
        <w:br/>
      </w:r>
    </w:p>
    <w:p w:rsidR="00A64035" w:rsidRPr="00D677F7" w:rsidRDefault="00A64035" w:rsidP="00A64035">
      <w:pPr>
        <w:pStyle w:val="Odstavecseseznamem"/>
        <w:spacing w:after="200" w:line="276" w:lineRule="auto"/>
        <w:ind w:left="720"/>
        <w:contextualSpacing/>
        <w:rPr>
          <w:rFonts w:ascii="Arial" w:hAnsi="Arial" w:cs="Arial"/>
          <w:i/>
          <w:sz w:val="22"/>
          <w:szCs w:val="22"/>
        </w:rPr>
      </w:pPr>
      <w:r w:rsidRPr="00D677F7">
        <w:rPr>
          <w:rFonts w:ascii="Arial" w:hAnsi="Arial" w:cs="Arial"/>
          <w:i/>
          <w:sz w:val="22"/>
          <w:szCs w:val="22"/>
        </w:rPr>
        <w:t>Příloha č. 1. Přehled škol, kontakty</w:t>
      </w:r>
      <w:r w:rsidRPr="00D677F7">
        <w:rPr>
          <w:rFonts w:ascii="Arial" w:hAnsi="Arial" w:cs="Arial"/>
          <w:i/>
          <w:sz w:val="22"/>
          <w:szCs w:val="22"/>
        </w:rPr>
        <w:br/>
        <w:t>Příloha č. 2. Naplněnost MŠ</w:t>
      </w:r>
    </w:p>
    <w:p w:rsidR="00A64035" w:rsidRPr="00657668" w:rsidRDefault="00A64035" w:rsidP="00A64035">
      <w:pPr>
        <w:ind w:left="360"/>
        <w:rPr>
          <w:i/>
          <w:sz w:val="22"/>
          <w:szCs w:val="22"/>
        </w:rPr>
      </w:pPr>
    </w:p>
    <w:p w:rsidR="00A64035" w:rsidRPr="00211BB8" w:rsidRDefault="00A64035" w:rsidP="0075074A">
      <w:pPr>
        <w:pStyle w:val="Nadpis3"/>
      </w:pPr>
      <w:r w:rsidRPr="00211BB8">
        <w:t>Ostatní subjekty pečující o děti do 6 let věku</w:t>
      </w:r>
    </w:p>
    <w:p w:rsidR="00A64035" w:rsidRPr="00211BB8" w:rsidRDefault="00A64035" w:rsidP="00A64035">
      <w:pPr>
        <w:rPr>
          <w:lang w:eastAsia="x-none"/>
        </w:rPr>
      </w:pPr>
    </w:p>
    <w:p w:rsidR="00A64035" w:rsidRPr="00657668" w:rsidRDefault="00A64035" w:rsidP="00A64035">
      <w:pPr>
        <w:rPr>
          <w:sz w:val="22"/>
          <w:szCs w:val="22"/>
        </w:rPr>
      </w:pPr>
      <w:r>
        <w:rPr>
          <w:sz w:val="22"/>
          <w:szCs w:val="22"/>
        </w:rPr>
        <w:t xml:space="preserve">Sociální </w:t>
      </w:r>
      <w:r w:rsidRPr="00657668">
        <w:rPr>
          <w:sz w:val="22"/>
          <w:szCs w:val="22"/>
        </w:rPr>
        <w:t>služb</w:t>
      </w:r>
      <w:r>
        <w:rPr>
          <w:sz w:val="22"/>
          <w:szCs w:val="22"/>
        </w:rPr>
        <w:t>y</w:t>
      </w:r>
      <w:r w:rsidRPr="00657668">
        <w:rPr>
          <w:sz w:val="22"/>
          <w:szCs w:val="22"/>
        </w:rPr>
        <w:t xml:space="preserve"> Chomutov</w:t>
      </w:r>
      <w:r>
        <w:rPr>
          <w:sz w:val="22"/>
          <w:szCs w:val="22"/>
        </w:rPr>
        <w:t>, příspěvková organizace, (</w:t>
      </w:r>
      <w:r w:rsidRPr="00657668">
        <w:rPr>
          <w:sz w:val="22"/>
          <w:szCs w:val="22"/>
        </w:rPr>
        <w:t>zřizovatel SMCH</w:t>
      </w:r>
      <w:r>
        <w:rPr>
          <w:sz w:val="22"/>
          <w:szCs w:val="22"/>
        </w:rPr>
        <w:t>)</w:t>
      </w:r>
      <w:r w:rsidRPr="00657668">
        <w:rPr>
          <w:sz w:val="22"/>
          <w:szCs w:val="22"/>
        </w:rPr>
        <w:t xml:space="preserve"> provozuje mimo jiné</w:t>
      </w:r>
      <w:r>
        <w:rPr>
          <w:sz w:val="22"/>
          <w:szCs w:val="22"/>
        </w:rPr>
        <w:t xml:space="preserve"> zařízení, která mají své kompetence do oblasti výchovy a vzdělání</w:t>
      </w:r>
      <w:r w:rsidRPr="00657668">
        <w:rPr>
          <w:sz w:val="22"/>
          <w:szCs w:val="22"/>
        </w:rPr>
        <w:t xml:space="preserve">: </w:t>
      </w:r>
    </w:p>
    <w:p w:rsidR="00A64035" w:rsidRPr="00657668" w:rsidRDefault="00A64035" w:rsidP="00557F1F">
      <w:pPr>
        <w:pStyle w:val="Odstavecseseznamem"/>
        <w:numPr>
          <w:ilvl w:val="0"/>
          <w:numId w:val="6"/>
        </w:numPr>
        <w:contextualSpacing/>
        <w:rPr>
          <w:rFonts w:ascii="Arial" w:hAnsi="Arial" w:cs="Arial"/>
          <w:i/>
          <w:sz w:val="22"/>
          <w:szCs w:val="22"/>
        </w:rPr>
      </w:pPr>
      <w:r w:rsidRPr="00657668">
        <w:rPr>
          <w:rFonts w:ascii="Arial" w:hAnsi="Arial" w:cs="Arial"/>
          <w:b/>
          <w:sz w:val="22"/>
          <w:szCs w:val="22"/>
        </w:rPr>
        <w:t>Denní stacionář Písečná 5176, Chomutov</w:t>
      </w:r>
    </w:p>
    <w:p w:rsidR="00A64035" w:rsidRPr="00657668" w:rsidRDefault="00A64035" w:rsidP="00A64035">
      <w:pPr>
        <w:ind w:left="720"/>
        <w:rPr>
          <w:sz w:val="22"/>
          <w:szCs w:val="22"/>
        </w:rPr>
      </w:pPr>
      <w:r w:rsidRPr="00657668">
        <w:rPr>
          <w:sz w:val="22"/>
          <w:szCs w:val="22"/>
        </w:rPr>
        <w:t xml:space="preserve">Kapacita stacionáře je 15 míst. Cílem je poskytování ambulantních služeb pro děti </w:t>
      </w:r>
      <w:r>
        <w:rPr>
          <w:sz w:val="22"/>
          <w:szCs w:val="22"/>
        </w:rPr>
        <w:br/>
      </w:r>
      <w:r w:rsidRPr="00657668">
        <w:rPr>
          <w:sz w:val="22"/>
          <w:szCs w:val="22"/>
        </w:rPr>
        <w:t>ve věku 1-5 let. Jedná se o zařízení kombinovaného (zdravotnického, sociálního, pedagogického) charakteru. V rámci zdravotní péče je poskytována: vodoléčba, rehabilitační cvičení Vojtovou metodou pod dohledem dětského neurologa.</w:t>
      </w:r>
    </w:p>
    <w:p w:rsidR="00A64035" w:rsidRPr="00657668" w:rsidRDefault="00A64035" w:rsidP="00557F1F">
      <w:pPr>
        <w:pStyle w:val="Odstavecseseznamem"/>
        <w:numPr>
          <w:ilvl w:val="0"/>
          <w:numId w:val="6"/>
        </w:numPr>
        <w:contextualSpacing/>
        <w:rPr>
          <w:rFonts w:ascii="Arial" w:hAnsi="Arial" w:cs="Arial"/>
          <w:b/>
          <w:sz w:val="22"/>
          <w:szCs w:val="22"/>
        </w:rPr>
      </w:pPr>
      <w:r w:rsidRPr="00657668">
        <w:rPr>
          <w:rFonts w:ascii="Arial" w:hAnsi="Arial" w:cs="Arial"/>
          <w:b/>
          <w:sz w:val="22"/>
          <w:szCs w:val="22"/>
        </w:rPr>
        <w:t>Jesle Písečná 5062, Chomutov</w:t>
      </w:r>
      <w:r w:rsidRPr="00657668">
        <w:rPr>
          <w:rFonts w:ascii="Arial" w:hAnsi="Arial" w:cs="Arial"/>
          <w:i/>
          <w:sz w:val="22"/>
          <w:szCs w:val="22"/>
        </w:rPr>
        <w:t xml:space="preserve"> </w:t>
      </w:r>
    </w:p>
    <w:p w:rsidR="00A64035" w:rsidRPr="00657668" w:rsidRDefault="00A64035" w:rsidP="00A64035">
      <w:pPr>
        <w:ind w:left="720"/>
        <w:rPr>
          <w:sz w:val="22"/>
          <w:szCs w:val="22"/>
        </w:rPr>
      </w:pPr>
      <w:r w:rsidRPr="00657668">
        <w:rPr>
          <w:sz w:val="22"/>
          <w:szCs w:val="22"/>
        </w:rPr>
        <w:t xml:space="preserve">Jesle jsou </w:t>
      </w:r>
      <w:proofErr w:type="gramStart"/>
      <w:r w:rsidRPr="00657668">
        <w:rPr>
          <w:sz w:val="22"/>
          <w:szCs w:val="22"/>
        </w:rPr>
        <w:t>nestátní</w:t>
      </w:r>
      <w:proofErr w:type="gramEnd"/>
      <w:r w:rsidRPr="00657668">
        <w:rPr>
          <w:sz w:val="22"/>
          <w:szCs w:val="22"/>
        </w:rPr>
        <w:t xml:space="preserve"> zdravotnické zařízení léčebně preventivní péče. Jsou určeny </w:t>
      </w:r>
      <w:r>
        <w:rPr>
          <w:sz w:val="22"/>
          <w:szCs w:val="22"/>
        </w:rPr>
        <w:br/>
      </w:r>
      <w:r w:rsidRPr="00657668">
        <w:rPr>
          <w:sz w:val="22"/>
          <w:szCs w:val="22"/>
        </w:rPr>
        <w:t xml:space="preserve">pro děti ve věku do 3 let, lze využívat i tzv. pětidenní režim (rodičovská dovolená). Kapacita je 15 míst pro celodenní pobyt. Je zde poskytována komplexní výchovná </w:t>
      </w:r>
      <w:r>
        <w:rPr>
          <w:sz w:val="22"/>
          <w:szCs w:val="22"/>
        </w:rPr>
        <w:br/>
      </w:r>
      <w:r w:rsidRPr="00657668">
        <w:rPr>
          <w:sz w:val="22"/>
          <w:szCs w:val="22"/>
        </w:rPr>
        <w:t>a vzdělávací péče.</w:t>
      </w:r>
    </w:p>
    <w:p w:rsidR="00A64035" w:rsidRPr="00657668" w:rsidRDefault="00A64035" w:rsidP="00A64035">
      <w:pPr>
        <w:rPr>
          <w:sz w:val="22"/>
          <w:szCs w:val="22"/>
        </w:rPr>
      </w:pPr>
    </w:p>
    <w:p w:rsidR="00A64035" w:rsidRPr="00657668" w:rsidRDefault="00A64035" w:rsidP="00A64035">
      <w:pPr>
        <w:rPr>
          <w:sz w:val="22"/>
          <w:szCs w:val="22"/>
        </w:rPr>
      </w:pPr>
    </w:p>
    <w:p w:rsidR="00A64035" w:rsidRDefault="00A64035" w:rsidP="00A64035">
      <w:pPr>
        <w:rPr>
          <w:sz w:val="22"/>
          <w:szCs w:val="22"/>
        </w:rPr>
      </w:pPr>
    </w:p>
    <w:p w:rsidR="00A64035" w:rsidRDefault="00A64035" w:rsidP="00A64035">
      <w:pPr>
        <w:rPr>
          <w:sz w:val="22"/>
          <w:szCs w:val="22"/>
        </w:rPr>
      </w:pPr>
    </w:p>
    <w:p w:rsidR="00A64035" w:rsidRDefault="00A64035" w:rsidP="00A64035">
      <w:pPr>
        <w:rPr>
          <w:sz w:val="22"/>
          <w:szCs w:val="22"/>
        </w:rPr>
      </w:pPr>
    </w:p>
    <w:p w:rsidR="00A64035" w:rsidRDefault="00A64035" w:rsidP="00A64035">
      <w:pPr>
        <w:rPr>
          <w:sz w:val="22"/>
          <w:szCs w:val="22"/>
        </w:rPr>
      </w:pPr>
    </w:p>
    <w:p w:rsidR="00A64035" w:rsidRDefault="00A64035" w:rsidP="00A64035">
      <w:pPr>
        <w:rPr>
          <w:sz w:val="22"/>
          <w:szCs w:val="22"/>
        </w:rPr>
      </w:pPr>
    </w:p>
    <w:p w:rsidR="00A64035" w:rsidRDefault="00A64035" w:rsidP="00A64035">
      <w:pPr>
        <w:rPr>
          <w:sz w:val="22"/>
          <w:szCs w:val="22"/>
        </w:rPr>
      </w:pPr>
    </w:p>
    <w:p w:rsidR="00A64035" w:rsidRDefault="00A64035" w:rsidP="00A6403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275"/>
        <w:gridCol w:w="1560"/>
        <w:gridCol w:w="1874"/>
      </w:tblGrid>
      <w:tr w:rsidR="00A64035" w:rsidRPr="00657668" w:rsidTr="0075074A">
        <w:tc>
          <w:tcPr>
            <w:tcW w:w="4503" w:type="dxa"/>
            <w:shd w:val="clear" w:color="auto" w:fill="auto"/>
          </w:tcPr>
          <w:p w:rsidR="00A64035" w:rsidRPr="00D677F7" w:rsidRDefault="00A64035" w:rsidP="0075074A">
            <w:pPr>
              <w:rPr>
                <w:b/>
                <w:sz w:val="22"/>
                <w:szCs w:val="22"/>
              </w:rPr>
            </w:pPr>
            <w:r w:rsidRPr="00D677F7">
              <w:rPr>
                <w:b/>
                <w:sz w:val="22"/>
                <w:szCs w:val="22"/>
              </w:rPr>
              <w:t>KONCEPČNÍ CÍLE – OPATŘENÍ</w:t>
            </w:r>
          </w:p>
        </w:tc>
        <w:tc>
          <w:tcPr>
            <w:tcW w:w="1275" w:type="dxa"/>
            <w:shd w:val="clear" w:color="auto" w:fill="auto"/>
          </w:tcPr>
          <w:p w:rsidR="00A64035" w:rsidRPr="00D677F7" w:rsidRDefault="00A64035" w:rsidP="0075074A">
            <w:pPr>
              <w:rPr>
                <w:b/>
                <w:sz w:val="22"/>
                <w:szCs w:val="22"/>
              </w:rPr>
            </w:pPr>
            <w:r w:rsidRPr="00D677F7">
              <w:rPr>
                <w:b/>
                <w:sz w:val="22"/>
                <w:szCs w:val="22"/>
              </w:rPr>
              <w:t xml:space="preserve">Garant </w:t>
            </w:r>
          </w:p>
        </w:tc>
        <w:tc>
          <w:tcPr>
            <w:tcW w:w="1560" w:type="dxa"/>
            <w:shd w:val="clear" w:color="auto" w:fill="auto"/>
          </w:tcPr>
          <w:p w:rsidR="00A64035" w:rsidRPr="00D677F7" w:rsidRDefault="00A64035" w:rsidP="0075074A">
            <w:pPr>
              <w:rPr>
                <w:b/>
                <w:sz w:val="22"/>
                <w:szCs w:val="22"/>
              </w:rPr>
            </w:pPr>
            <w:r w:rsidRPr="00D677F7">
              <w:rPr>
                <w:b/>
                <w:sz w:val="22"/>
                <w:szCs w:val="22"/>
              </w:rPr>
              <w:t>Zdroj dat/</w:t>
            </w:r>
            <w:r w:rsidRPr="00D677F7">
              <w:rPr>
                <w:b/>
                <w:sz w:val="22"/>
                <w:szCs w:val="22"/>
              </w:rPr>
              <w:br/>
              <w:t>sumarizace</w:t>
            </w:r>
          </w:p>
        </w:tc>
        <w:tc>
          <w:tcPr>
            <w:tcW w:w="1874" w:type="dxa"/>
            <w:shd w:val="clear" w:color="auto" w:fill="auto"/>
          </w:tcPr>
          <w:p w:rsidR="00A64035" w:rsidRPr="00D677F7" w:rsidRDefault="00A64035" w:rsidP="0075074A">
            <w:pPr>
              <w:rPr>
                <w:b/>
                <w:sz w:val="22"/>
                <w:szCs w:val="22"/>
              </w:rPr>
            </w:pPr>
            <w:r w:rsidRPr="00D677F7">
              <w:rPr>
                <w:b/>
                <w:sz w:val="22"/>
                <w:szCs w:val="22"/>
              </w:rPr>
              <w:t xml:space="preserve">Indikátor </w:t>
            </w:r>
          </w:p>
        </w:tc>
      </w:tr>
      <w:tr w:rsidR="00A64035" w:rsidRPr="00657668" w:rsidTr="0075074A">
        <w:tc>
          <w:tcPr>
            <w:tcW w:w="4503" w:type="dxa"/>
            <w:shd w:val="clear" w:color="auto" w:fill="auto"/>
          </w:tcPr>
          <w:p w:rsidR="00A64035" w:rsidRPr="00657668"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Pr="00657668" w:rsidRDefault="00A64035" w:rsidP="0075074A">
            <w:pPr>
              <w:rPr>
                <w:sz w:val="22"/>
                <w:szCs w:val="22"/>
              </w:rPr>
            </w:pPr>
            <w:r w:rsidRPr="00657668">
              <w:rPr>
                <w:sz w:val="22"/>
                <w:szCs w:val="22"/>
              </w:rPr>
              <w:t>Zajistit dostatečnou kapacitu mateřských škol, především dostát zákonné povinnosti zajistit podmínky předškolního vzdělávání dětí v posledním roce před zahájením povinné školní docházky</w:t>
            </w:r>
            <w:r>
              <w:rPr>
                <w:sz w:val="22"/>
                <w:szCs w:val="22"/>
              </w:rPr>
              <w:t>.</w:t>
            </w:r>
          </w:p>
        </w:tc>
        <w:tc>
          <w:tcPr>
            <w:tcW w:w="1275" w:type="dxa"/>
            <w:shd w:val="clear" w:color="auto" w:fill="auto"/>
          </w:tcPr>
          <w:p w:rsidR="00A64035" w:rsidRPr="00657668" w:rsidRDefault="00A64035" w:rsidP="0075074A">
            <w:pPr>
              <w:rPr>
                <w:sz w:val="22"/>
                <w:szCs w:val="22"/>
              </w:rPr>
            </w:pPr>
            <w:r w:rsidRPr="00657668">
              <w:rPr>
                <w:sz w:val="22"/>
                <w:szCs w:val="22"/>
              </w:rPr>
              <w:t>ZSMCH</w:t>
            </w:r>
          </w:p>
        </w:tc>
        <w:tc>
          <w:tcPr>
            <w:tcW w:w="1560" w:type="dxa"/>
            <w:shd w:val="clear" w:color="auto" w:fill="auto"/>
          </w:tcPr>
          <w:p w:rsidR="00A64035" w:rsidRPr="00657668" w:rsidRDefault="00A64035" w:rsidP="0075074A">
            <w:pPr>
              <w:rPr>
                <w:sz w:val="22"/>
                <w:szCs w:val="22"/>
              </w:rPr>
            </w:pPr>
            <w:r w:rsidRPr="00657668">
              <w:rPr>
                <w:sz w:val="22"/>
                <w:szCs w:val="22"/>
              </w:rPr>
              <w:t>ŘŠ/OŠ MMCH</w:t>
            </w:r>
          </w:p>
        </w:tc>
        <w:tc>
          <w:tcPr>
            <w:tcW w:w="1874" w:type="dxa"/>
            <w:shd w:val="clear" w:color="auto" w:fill="auto"/>
          </w:tcPr>
          <w:p w:rsidR="00A64035" w:rsidRPr="00657668" w:rsidRDefault="00A64035" w:rsidP="0075074A">
            <w:pPr>
              <w:rPr>
                <w:sz w:val="22"/>
                <w:szCs w:val="22"/>
              </w:rPr>
            </w:pPr>
            <w:r w:rsidRPr="00657668">
              <w:rPr>
                <w:sz w:val="22"/>
                <w:szCs w:val="22"/>
              </w:rPr>
              <w:t>Meziroční % vývoj</w:t>
            </w:r>
          </w:p>
        </w:tc>
      </w:tr>
      <w:tr w:rsidR="00A64035" w:rsidRPr="00657668" w:rsidTr="0075074A">
        <w:tc>
          <w:tcPr>
            <w:tcW w:w="4503" w:type="dxa"/>
            <w:shd w:val="clear" w:color="auto" w:fill="auto"/>
          </w:tcPr>
          <w:p w:rsidR="00A64035" w:rsidRPr="00657668"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Pr="00657668" w:rsidRDefault="00A64035" w:rsidP="0075074A">
            <w:pPr>
              <w:rPr>
                <w:sz w:val="22"/>
                <w:szCs w:val="22"/>
              </w:rPr>
            </w:pPr>
            <w:r w:rsidRPr="00657668">
              <w:rPr>
                <w:sz w:val="22"/>
                <w:szCs w:val="22"/>
              </w:rPr>
              <w:t xml:space="preserve">Plnit cíle předškolního vzdělávání, podporovat rozvoj osobnosti dítěte, podílet se na jeho zdravém citovém, rozumovém </w:t>
            </w:r>
            <w:r>
              <w:rPr>
                <w:sz w:val="22"/>
                <w:szCs w:val="22"/>
              </w:rPr>
              <w:br/>
            </w:r>
            <w:r w:rsidRPr="00657668">
              <w:rPr>
                <w:sz w:val="22"/>
                <w:szCs w:val="22"/>
              </w:rPr>
              <w:t>a tělesném rozvoji a na osvojení základních pravidel chování, základních životních hodnot a mezilidských vztahů</w:t>
            </w:r>
            <w:r>
              <w:rPr>
                <w:sz w:val="22"/>
                <w:szCs w:val="22"/>
              </w:rPr>
              <w:t>.</w:t>
            </w:r>
          </w:p>
        </w:tc>
        <w:tc>
          <w:tcPr>
            <w:tcW w:w="1275" w:type="dxa"/>
            <w:shd w:val="clear" w:color="auto" w:fill="auto"/>
          </w:tcPr>
          <w:p w:rsidR="00A64035" w:rsidRPr="00657668" w:rsidRDefault="00A64035" w:rsidP="0075074A">
            <w:pPr>
              <w:rPr>
                <w:sz w:val="22"/>
                <w:szCs w:val="22"/>
              </w:rPr>
            </w:pPr>
            <w:r w:rsidRPr="00657668">
              <w:rPr>
                <w:sz w:val="22"/>
                <w:szCs w:val="22"/>
              </w:rPr>
              <w:t>ŘŠ</w:t>
            </w:r>
          </w:p>
        </w:tc>
        <w:tc>
          <w:tcPr>
            <w:tcW w:w="1560" w:type="dxa"/>
            <w:shd w:val="clear" w:color="auto" w:fill="auto"/>
          </w:tcPr>
          <w:p w:rsidR="00A64035" w:rsidRPr="00657668" w:rsidRDefault="00A64035" w:rsidP="0075074A">
            <w:pPr>
              <w:rPr>
                <w:sz w:val="22"/>
                <w:szCs w:val="22"/>
              </w:rPr>
            </w:pPr>
            <w:r w:rsidRPr="00657668">
              <w:rPr>
                <w:sz w:val="22"/>
                <w:szCs w:val="22"/>
              </w:rPr>
              <w:t>ŘŠ/OŠ MMCH</w:t>
            </w:r>
          </w:p>
        </w:tc>
        <w:tc>
          <w:tcPr>
            <w:tcW w:w="1874" w:type="dxa"/>
            <w:shd w:val="clear" w:color="auto" w:fill="auto"/>
          </w:tcPr>
          <w:p w:rsidR="00A64035" w:rsidRPr="00657668" w:rsidRDefault="00A64035" w:rsidP="0075074A">
            <w:pPr>
              <w:rPr>
                <w:sz w:val="22"/>
                <w:szCs w:val="22"/>
              </w:rPr>
            </w:pPr>
            <w:r w:rsidRPr="00657668">
              <w:rPr>
                <w:sz w:val="22"/>
                <w:szCs w:val="22"/>
              </w:rPr>
              <w:t>Vlastní hodnocení školy a hodnocení ČŠI</w:t>
            </w:r>
          </w:p>
        </w:tc>
      </w:tr>
      <w:tr w:rsidR="00A64035" w:rsidRPr="00657668" w:rsidTr="0075074A">
        <w:tc>
          <w:tcPr>
            <w:tcW w:w="4503" w:type="dxa"/>
            <w:shd w:val="clear" w:color="auto" w:fill="auto"/>
          </w:tcPr>
          <w:p w:rsidR="00A64035" w:rsidRPr="00657668"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Pr="00657668" w:rsidRDefault="00A64035" w:rsidP="0075074A">
            <w:pPr>
              <w:rPr>
                <w:sz w:val="22"/>
                <w:szCs w:val="22"/>
              </w:rPr>
            </w:pPr>
            <w:r w:rsidRPr="00657668">
              <w:rPr>
                <w:sz w:val="22"/>
                <w:szCs w:val="22"/>
              </w:rPr>
              <w:t xml:space="preserve">Efektivně využívat příspěvek zřizovatele </w:t>
            </w:r>
            <w:r>
              <w:rPr>
                <w:sz w:val="22"/>
                <w:szCs w:val="22"/>
              </w:rPr>
              <w:br/>
            </w:r>
            <w:r w:rsidRPr="00657668">
              <w:rPr>
                <w:sz w:val="22"/>
                <w:szCs w:val="22"/>
              </w:rPr>
              <w:t>na p</w:t>
            </w:r>
            <w:r>
              <w:rPr>
                <w:sz w:val="22"/>
                <w:szCs w:val="22"/>
              </w:rPr>
              <w:t>rovozní náklady mateřských škol.</w:t>
            </w:r>
          </w:p>
        </w:tc>
        <w:tc>
          <w:tcPr>
            <w:tcW w:w="1275" w:type="dxa"/>
            <w:shd w:val="clear" w:color="auto" w:fill="auto"/>
          </w:tcPr>
          <w:p w:rsidR="00A64035" w:rsidRPr="00657668" w:rsidRDefault="00A64035" w:rsidP="0075074A">
            <w:pPr>
              <w:rPr>
                <w:sz w:val="22"/>
                <w:szCs w:val="22"/>
              </w:rPr>
            </w:pPr>
            <w:r w:rsidRPr="00657668">
              <w:rPr>
                <w:sz w:val="22"/>
                <w:szCs w:val="22"/>
              </w:rPr>
              <w:t>ŘŠ</w:t>
            </w:r>
          </w:p>
        </w:tc>
        <w:tc>
          <w:tcPr>
            <w:tcW w:w="1560" w:type="dxa"/>
            <w:shd w:val="clear" w:color="auto" w:fill="auto"/>
          </w:tcPr>
          <w:p w:rsidR="00A64035" w:rsidRPr="00657668" w:rsidRDefault="00A64035" w:rsidP="0075074A">
            <w:pPr>
              <w:rPr>
                <w:sz w:val="22"/>
                <w:szCs w:val="22"/>
              </w:rPr>
            </w:pPr>
            <w:r w:rsidRPr="00657668">
              <w:rPr>
                <w:sz w:val="22"/>
                <w:szCs w:val="22"/>
              </w:rPr>
              <w:t>ŘŠ/OŠ MMCH</w:t>
            </w:r>
          </w:p>
        </w:tc>
        <w:tc>
          <w:tcPr>
            <w:tcW w:w="1874" w:type="dxa"/>
            <w:shd w:val="clear" w:color="auto" w:fill="auto"/>
          </w:tcPr>
          <w:p w:rsidR="00A64035" w:rsidRPr="00657668" w:rsidRDefault="00A64035" w:rsidP="0075074A">
            <w:pPr>
              <w:rPr>
                <w:sz w:val="22"/>
                <w:szCs w:val="22"/>
              </w:rPr>
            </w:pPr>
            <w:r w:rsidRPr="00657668">
              <w:rPr>
                <w:sz w:val="22"/>
                <w:szCs w:val="22"/>
              </w:rPr>
              <w:t>Meziroční výše neinvestičních výdajů na jedno dítě</w:t>
            </w:r>
          </w:p>
        </w:tc>
      </w:tr>
      <w:tr w:rsidR="00A64035" w:rsidRPr="00657668" w:rsidTr="0075074A">
        <w:tc>
          <w:tcPr>
            <w:tcW w:w="4503" w:type="dxa"/>
            <w:shd w:val="clear" w:color="auto" w:fill="auto"/>
          </w:tcPr>
          <w:p w:rsidR="00A64035" w:rsidRPr="00657668"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Pr="00657668" w:rsidRDefault="00A64035" w:rsidP="0075074A">
            <w:pPr>
              <w:rPr>
                <w:sz w:val="22"/>
                <w:szCs w:val="22"/>
              </w:rPr>
            </w:pPr>
            <w:r w:rsidRPr="00657668">
              <w:rPr>
                <w:sz w:val="22"/>
                <w:szCs w:val="22"/>
              </w:rPr>
              <w:t>Zajistit finanční prostředky na inovaci vnitřního vybavení škol</w:t>
            </w:r>
            <w:r>
              <w:rPr>
                <w:sz w:val="22"/>
                <w:szCs w:val="22"/>
              </w:rPr>
              <w:t>.</w:t>
            </w:r>
          </w:p>
        </w:tc>
        <w:tc>
          <w:tcPr>
            <w:tcW w:w="1275" w:type="dxa"/>
            <w:shd w:val="clear" w:color="auto" w:fill="auto"/>
          </w:tcPr>
          <w:p w:rsidR="00A64035" w:rsidRPr="00657668" w:rsidRDefault="00A64035" w:rsidP="0075074A">
            <w:pPr>
              <w:rPr>
                <w:sz w:val="22"/>
                <w:szCs w:val="22"/>
              </w:rPr>
            </w:pPr>
            <w:r w:rsidRPr="00657668">
              <w:rPr>
                <w:sz w:val="22"/>
                <w:szCs w:val="22"/>
              </w:rPr>
              <w:t>ZSMCH</w:t>
            </w:r>
          </w:p>
        </w:tc>
        <w:tc>
          <w:tcPr>
            <w:tcW w:w="1560" w:type="dxa"/>
            <w:shd w:val="clear" w:color="auto" w:fill="auto"/>
          </w:tcPr>
          <w:p w:rsidR="00A64035" w:rsidRPr="00657668" w:rsidRDefault="00A64035" w:rsidP="0075074A">
            <w:pPr>
              <w:rPr>
                <w:sz w:val="22"/>
                <w:szCs w:val="22"/>
              </w:rPr>
            </w:pPr>
            <w:r w:rsidRPr="00657668">
              <w:rPr>
                <w:sz w:val="22"/>
                <w:szCs w:val="22"/>
              </w:rPr>
              <w:t>ŘŠ/OŠ MMCH</w:t>
            </w:r>
          </w:p>
        </w:tc>
        <w:tc>
          <w:tcPr>
            <w:tcW w:w="1874" w:type="dxa"/>
            <w:shd w:val="clear" w:color="auto" w:fill="auto"/>
          </w:tcPr>
          <w:p w:rsidR="00A64035" w:rsidRPr="00657668" w:rsidRDefault="00A64035" w:rsidP="0075074A">
            <w:pPr>
              <w:rPr>
                <w:sz w:val="22"/>
                <w:szCs w:val="22"/>
              </w:rPr>
            </w:pPr>
            <w:r w:rsidRPr="00657668">
              <w:rPr>
                <w:sz w:val="22"/>
                <w:szCs w:val="22"/>
              </w:rPr>
              <w:t>Meziroční % vývoj</w:t>
            </w:r>
          </w:p>
        </w:tc>
      </w:tr>
      <w:tr w:rsidR="00A64035" w:rsidRPr="00657668" w:rsidTr="0075074A">
        <w:tc>
          <w:tcPr>
            <w:tcW w:w="4503" w:type="dxa"/>
            <w:shd w:val="clear" w:color="auto" w:fill="auto"/>
          </w:tcPr>
          <w:p w:rsidR="00A64035" w:rsidRPr="00657668"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Pr="00657668" w:rsidRDefault="00A64035" w:rsidP="0075074A">
            <w:pPr>
              <w:rPr>
                <w:sz w:val="22"/>
                <w:szCs w:val="22"/>
              </w:rPr>
            </w:pPr>
            <w:r w:rsidRPr="00657668">
              <w:rPr>
                <w:sz w:val="22"/>
                <w:szCs w:val="22"/>
              </w:rPr>
              <w:t>Zajistit finanční prostředky na revitalizac</w:t>
            </w:r>
            <w:r>
              <w:rPr>
                <w:sz w:val="22"/>
                <w:szCs w:val="22"/>
              </w:rPr>
              <w:t>i</w:t>
            </w:r>
            <w:r w:rsidRPr="00657668">
              <w:rPr>
                <w:sz w:val="22"/>
                <w:szCs w:val="22"/>
              </w:rPr>
              <w:t xml:space="preserve"> objektů škol</w:t>
            </w:r>
            <w:r>
              <w:rPr>
                <w:sz w:val="22"/>
                <w:szCs w:val="22"/>
              </w:rPr>
              <w:t>.</w:t>
            </w:r>
          </w:p>
        </w:tc>
        <w:tc>
          <w:tcPr>
            <w:tcW w:w="1275" w:type="dxa"/>
            <w:shd w:val="clear" w:color="auto" w:fill="auto"/>
          </w:tcPr>
          <w:p w:rsidR="00A64035" w:rsidRPr="00657668" w:rsidRDefault="00A64035" w:rsidP="0075074A">
            <w:pPr>
              <w:rPr>
                <w:sz w:val="22"/>
                <w:szCs w:val="22"/>
              </w:rPr>
            </w:pPr>
            <w:r w:rsidRPr="00657668">
              <w:rPr>
                <w:sz w:val="22"/>
                <w:szCs w:val="22"/>
              </w:rPr>
              <w:t>ZSMCH</w:t>
            </w:r>
          </w:p>
        </w:tc>
        <w:tc>
          <w:tcPr>
            <w:tcW w:w="1560" w:type="dxa"/>
            <w:shd w:val="clear" w:color="auto" w:fill="auto"/>
          </w:tcPr>
          <w:p w:rsidR="00A64035" w:rsidRPr="00657668" w:rsidRDefault="00A64035" w:rsidP="0075074A">
            <w:pPr>
              <w:rPr>
                <w:sz w:val="22"/>
                <w:szCs w:val="22"/>
              </w:rPr>
            </w:pPr>
            <w:r w:rsidRPr="00657668">
              <w:rPr>
                <w:sz w:val="22"/>
                <w:szCs w:val="22"/>
              </w:rPr>
              <w:t>ŘŠ/OŠ MMCH</w:t>
            </w:r>
          </w:p>
        </w:tc>
        <w:tc>
          <w:tcPr>
            <w:tcW w:w="1874" w:type="dxa"/>
            <w:shd w:val="clear" w:color="auto" w:fill="auto"/>
          </w:tcPr>
          <w:p w:rsidR="00A64035" w:rsidRPr="00657668" w:rsidRDefault="00A64035" w:rsidP="0075074A">
            <w:pPr>
              <w:rPr>
                <w:sz w:val="22"/>
                <w:szCs w:val="22"/>
              </w:rPr>
            </w:pPr>
            <w:r w:rsidRPr="00657668">
              <w:rPr>
                <w:sz w:val="22"/>
                <w:szCs w:val="22"/>
              </w:rPr>
              <w:t>Meziroční % vývoj</w:t>
            </w:r>
          </w:p>
        </w:tc>
      </w:tr>
      <w:tr w:rsidR="00A64035" w:rsidRPr="00657668" w:rsidTr="0075074A">
        <w:tc>
          <w:tcPr>
            <w:tcW w:w="4503" w:type="dxa"/>
            <w:shd w:val="clear" w:color="auto" w:fill="auto"/>
          </w:tcPr>
          <w:p w:rsidR="00A64035" w:rsidRPr="00657668"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Pr="00657668" w:rsidRDefault="00A64035" w:rsidP="0075074A">
            <w:pPr>
              <w:rPr>
                <w:sz w:val="22"/>
                <w:szCs w:val="22"/>
              </w:rPr>
            </w:pPr>
            <w:r w:rsidRPr="00657668">
              <w:rPr>
                <w:sz w:val="22"/>
                <w:szCs w:val="22"/>
              </w:rPr>
              <w:t>Podporovat kvalifikovanost pracovníků</w:t>
            </w:r>
            <w:r>
              <w:rPr>
                <w:sz w:val="22"/>
                <w:szCs w:val="22"/>
              </w:rPr>
              <w:t>.</w:t>
            </w:r>
            <w:r w:rsidRPr="00657668">
              <w:rPr>
                <w:sz w:val="22"/>
                <w:szCs w:val="22"/>
              </w:rPr>
              <w:t xml:space="preserve"> </w:t>
            </w:r>
          </w:p>
        </w:tc>
        <w:tc>
          <w:tcPr>
            <w:tcW w:w="1275" w:type="dxa"/>
            <w:shd w:val="clear" w:color="auto" w:fill="auto"/>
          </w:tcPr>
          <w:p w:rsidR="00A64035" w:rsidRPr="00657668" w:rsidRDefault="00A64035" w:rsidP="0075074A">
            <w:pPr>
              <w:rPr>
                <w:sz w:val="22"/>
                <w:szCs w:val="22"/>
              </w:rPr>
            </w:pPr>
            <w:r w:rsidRPr="00657668">
              <w:rPr>
                <w:sz w:val="22"/>
                <w:szCs w:val="22"/>
              </w:rPr>
              <w:t>ZSMCH/</w:t>
            </w:r>
            <w:r>
              <w:rPr>
                <w:sz w:val="22"/>
                <w:szCs w:val="22"/>
              </w:rPr>
              <w:br/>
            </w:r>
            <w:r w:rsidRPr="00657668">
              <w:rPr>
                <w:sz w:val="22"/>
                <w:szCs w:val="22"/>
              </w:rPr>
              <w:t>ŘŠ</w:t>
            </w:r>
          </w:p>
        </w:tc>
        <w:tc>
          <w:tcPr>
            <w:tcW w:w="1560" w:type="dxa"/>
            <w:shd w:val="clear" w:color="auto" w:fill="auto"/>
          </w:tcPr>
          <w:p w:rsidR="00A64035" w:rsidRPr="00657668" w:rsidRDefault="00A64035" w:rsidP="0075074A">
            <w:pPr>
              <w:rPr>
                <w:sz w:val="22"/>
                <w:szCs w:val="22"/>
              </w:rPr>
            </w:pPr>
            <w:r w:rsidRPr="00657668">
              <w:rPr>
                <w:sz w:val="22"/>
                <w:szCs w:val="22"/>
              </w:rPr>
              <w:t>ŘŠ/OŠ MMCH</w:t>
            </w:r>
          </w:p>
        </w:tc>
        <w:tc>
          <w:tcPr>
            <w:tcW w:w="1874" w:type="dxa"/>
            <w:shd w:val="clear" w:color="auto" w:fill="auto"/>
          </w:tcPr>
          <w:p w:rsidR="00A64035" w:rsidRPr="00657668" w:rsidRDefault="00A64035" w:rsidP="0075074A">
            <w:pPr>
              <w:rPr>
                <w:sz w:val="22"/>
                <w:szCs w:val="22"/>
              </w:rPr>
            </w:pPr>
            <w:r w:rsidRPr="00657668">
              <w:rPr>
                <w:sz w:val="22"/>
                <w:szCs w:val="22"/>
              </w:rPr>
              <w:t>Meziroční odborná kvalifikovanost</w:t>
            </w:r>
          </w:p>
        </w:tc>
      </w:tr>
      <w:tr w:rsidR="00A64035" w:rsidRPr="00657668" w:rsidTr="0075074A">
        <w:tc>
          <w:tcPr>
            <w:tcW w:w="4503" w:type="dxa"/>
            <w:shd w:val="clear" w:color="auto" w:fill="auto"/>
          </w:tcPr>
          <w:p w:rsidR="00A64035" w:rsidRPr="00657668"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Pr="00657668" w:rsidRDefault="00A64035" w:rsidP="0075074A">
            <w:pPr>
              <w:rPr>
                <w:sz w:val="22"/>
                <w:szCs w:val="22"/>
              </w:rPr>
            </w:pPr>
            <w:r>
              <w:rPr>
                <w:sz w:val="22"/>
                <w:szCs w:val="22"/>
              </w:rPr>
              <w:t>V případě zájmu rozšířit počet míst pro děti do věku tří let.</w:t>
            </w:r>
          </w:p>
        </w:tc>
        <w:tc>
          <w:tcPr>
            <w:tcW w:w="1275" w:type="dxa"/>
            <w:shd w:val="clear" w:color="auto" w:fill="auto"/>
          </w:tcPr>
          <w:p w:rsidR="00A64035" w:rsidRDefault="00A64035" w:rsidP="0075074A">
            <w:pPr>
              <w:rPr>
                <w:sz w:val="22"/>
                <w:szCs w:val="22"/>
              </w:rPr>
            </w:pPr>
            <w:r>
              <w:rPr>
                <w:sz w:val="22"/>
                <w:szCs w:val="22"/>
              </w:rPr>
              <w:t>ZSMCH/</w:t>
            </w:r>
          </w:p>
          <w:p w:rsidR="00A64035" w:rsidRPr="00657668" w:rsidRDefault="00A64035" w:rsidP="0075074A">
            <w:pPr>
              <w:rPr>
                <w:sz w:val="22"/>
                <w:szCs w:val="22"/>
              </w:rPr>
            </w:pPr>
            <w:r>
              <w:rPr>
                <w:sz w:val="22"/>
                <w:szCs w:val="22"/>
              </w:rPr>
              <w:t>ŘŠ</w:t>
            </w:r>
          </w:p>
        </w:tc>
        <w:tc>
          <w:tcPr>
            <w:tcW w:w="1560" w:type="dxa"/>
            <w:shd w:val="clear" w:color="auto" w:fill="auto"/>
          </w:tcPr>
          <w:p w:rsidR="00A64035" w:rsidRDefault="00A64035" w:rsidP="0075074A">
            <w:pPr>
              <w:rPr>
                <w:sz w:val="22"/>
                <w:szCs w:val="22"/>
              </w:rPr>
            </w:pPr>
            <w:r>
              <w:rPr>
                <w:sz w:val="22"/>
                <w:szCs w:val="22"/>
              </w:rPr>
              <w:t>ŘŠ/OŠ</w:t>
            </w:r>
          </w:p>
          <w:p w:rsidR="00A64035" w:rsidRPr="00657668" w:rsidRDefault="00A64035" w:rsidP="0075074A">
            <w:pPr>
              <w:rPr>
                <w:sz w:val="22"/>
                <w:szCs w:val="22"/>
              </w:rPr>
            </w:pPr>
            <w:r>
              <w:rPr>
                <w:sz w:val="22"/>
                <w:szCs w:val="22"/>
              </w:rPr>
              <w:t>MMCH</w:t>
            </w:r>
          </w:p>
        </w:tc>
        <w:tc>
          <w:tcPr>
            <w:tcW w:w="1874" w:type="dxa"/>
            <w:shd w:val="clear" w:color="auto" w:fill="auto"/>
          </w:tcPr>
          <w:p w:rsidR="00A64035" w:rsidRPr="00657668" w:rsidRDefault="00A64035" w:rsidP="0075074A">
            <w:pPr>
              <w:rPr>
                <w:sz w:val="22"/>
                <w:szCs w:val="22"/>
              </w:rPr>
            </w:pPr>
            <w:r w:rsidRPr="00657668">
              <w:rPr>
                <w:sz w:val="22"/>
                <w:szCs w:val="22"/>
              </w:rPr>
              <w:t>Meziroční % vývoj</w:t>
            </w:r>
          </w:p>
        </w:tc>
      </w:tr>
      <w:tr w:rsidR="00A64035" w:rsidRPr="00657668" w:rsidTr="0075074A">
        <w:tc>
          <w:tcPr>
            <w:tcW w:w="4503" w:type="dxa"/>
            <w:shd w:val="clear" w:color="auto" w:fill="auto"/>
          </w:tcPr>
          <w:p w:rsidR="00A64035"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Default="00A64035" w:rsidP="0075074A">
            <w:pPr>
              <w:rPr>
                <w:sz w:val="22"/>
                <w:szCs w:val="22"/>
              </w:rPr>
            </w:pPr>
            <w:r>
              <w:rPr>
                <w:sz w:val="22"/>
                <w:szCs w:val="22"/>
              </w:rPr>
              <w:t>Podpořit modernizaci zahrad a hřišť, které jsou součástí mateřských škol.</w:t>
            </w:r>
          </w:p>
        </w:tc>
        <w:tc>
          <w:tcPr>
            <w:tcW w:w="1275" w:type="dxa"/>
            <w:shd w:val="clear" w:color="auto" w:fill="auto"/>
          </w:tcPr>
          <w:p w:rsidR="00A64035" w:rsidRPr="00657668" w:rsidRDefault="00A64035" w:rsidP="0075074A">
            <w:pPr>
              <w:rPr>
                <w:sz w:val="22"/>
                <w:szCs w:val="22"/>
              </w:rPr>
            </w:pPr>
            <w:r>
              <w:rPr>
                <w:sz w:val="22"/>
                <w:szCs w:val="22"/>
              </w:rPr>
              <w:t>ZSMCH</w:t>
            </w:r>
          </w:p>
        </w:tc>
        <w:tc>
          <w:tcPr>
            <w:tcW w:w="1560" w:type="dxa"/>
            <w:shd w:val="clear" w:color="auto" w:fill="auto"/>
          </w:tcPr>
          <w:p w:rsidR="00A64035" w:rsidRDefault="00A64035" w:rsidP="0075074A">
            <w:pPr>
              <w:rPr>
                <w:sz w:val="22"/>
                <w:szCs w:val="22"/>
              </w:rPr>
            </w:pPr>
            <w:r>
              <w:rPr>
                <w:sz w:val="22"/>
                <w:szCs w:val="22"/>
              </w:rPr>
              <w:t>ŘŠ/OŠ</w:t>
            </w:r>
          </w:p>
          <w:p w:rsidR="00A64035" w:rsidRPr="00657668" w:rsidRDefault="00A64035" w:rsidP="0075074A">
            <w:pPr>
              <w:rPr>
                <w:sz w:val="22"/>
                <w:szCs w:val="22"/>
              </w:rPr>
            </w:pPr>
            <w:r>
              <w:rPr>
                <w:sz w:val="22"/>
                <w:szCs w:val="22"/>
              </w:rPr>
              <w:t>MMCH</w:t>
            </w:r>
          </w:p>
        </w:tc>
        <w:tc>
          <w:tcPr>
            <w:tcW w:w="1874" w:type="dxa"/>
            <w:shd w:val="clear" w:color="auto" w:fill="auto"/>
          </w:tcPr>
          <w:p w:rsidR="00A64035" w:rsidRPr="00657668" w:rsidRDefault="00A64035" w:rsidP="0075074A">
            <w:pPr>
              <w:rPr>
                <w:sz w:val="22"/>
                <w:szCs w:val="22"/>
              </w:rPr>
            </w:pPr>
            <w:r>
              <w:rPr>
                <w:sz w:val="22"/>
                <w:szCs w:val="22"/>
              </w:rPr>
              <w:t>Vlastní hodnocení školy</w:t>
            </w:r>
          </w:p>
        </w:tc>
      </w:tr>
      <w:tr w:rsidR="00A64035" w:rsidRPr="00657668" w:rsidTr="0075074A">
        <w:tc>
          <w:tcPr>
            <w:tcW w:w="4503" w:type="dxa"/>
            <w:shd w:val="clear" w:color="auto" w:fill="auto"/>
          </w:tcPr>
          <w:p w:rsidR="00A64035"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Default="00A64035" w:rsidP="0075074A">
            <w:pPr>
              <w:rPr>
                <w:sz w:val="22"/>
                <w:szCs w:val="22"/>
              </w:rPr>
            </w:pPr>
            <w:r>
              <w:rPr>
                <w:sz w:val="22"/>
                <w:szCs w:val="22"/>
              </w:rPr>
              <w:t>Podpořit rozvoj činnosti s dětmi ze sociálně znevýhodněného prostředí a s dětmi handicapovanými.</w:t>
            </w:r>
          </w:p>
        </w:tc>
        <w:tc>
          <w:tcPr>
            <w:tcW w:w="1275" w:type="dxa"/>
            <w:shd w:val="clear" w:color="auto" w:fill="auto"/>
          </w:tcPr>
          <w:p w:rsidR="00A64035" w:rsidRDefault="00A64035" w:rsidP="0075074A">
            <w:pPr>
              <w:rPr>
                <w:sz w:val="22"/>
                <w:szCs w:val="22"/>
              </w:rPr>
            </w:pPr>
            <w:r>
              <w:rPr>
                <w:sz w:val="22"/>
                <w:szCs w:val="22"/>
              </w:rPr>
              <w:t>ZSMCH/</w:t>
            </w:r>
          </w:p>
          <w:p w:rsidR="00A64035" w:rsidRPr="00657668" w:rsidRDefault="00A64035" w:rsidP="0075074A">
            <w:pPr>
              <w:rPr>
                <w:sz w:val="22"/>
                <w:szCs w:val="22"/>
              </w:rPr>
            </w:pPr>
            <w:r>
              <w:rPr>
                <w:sz w:val="22"/>
                <w:szCs w:val="22"/>
              </w:rPr>
              <w:t>ŘŠ</w:t>
            </w:r>
          </w:p>
        </w:tc>
        <w:tc>
          <w:tcPr>
            <w:tcW w:w="1560" w:type="dxa"/>
            <w:shd w:val="clear" w:color="auto" w:fill="auto"/>
          </w:tcPr>
          <w:p w:rsidR="00A64035" w:rsidRPr="00657668" w:rsidRDefault="00A64035" w:rsidP="0075074A">
            <w:pPr>
              <w:rPr>
                <w:sz w:val="22"/>
                <w:szCs w:val="22"/>
              </w:rPr>
            </w:pPr>
            <w:r>
              <w:rPr>
                <w:sz w:val="22"/>
                <w:szCs w:val="22"/>
              </w:rPr>
              <w:t>ŘŠ/VVVZ</w:t>
            </w:r>
          </w:p>
        </w:tc>
        <w:tc>
          <w:tcPr>
            <w:tcW w:w="1874" w:type="dxa"/>
            <w:shd w:val="clear" w:color="auto" w:fill="auto"/>
          </w:tcPr>
          <w:p w:rsidR="00A64035" w:rsidRPr="00657668" w:rsidRDefault="00A64035" w:rsidP="0075074A">
            <w:pPr>
              <w:rPr>
                <w:sz w:val="22"/>
                <w:szCs w:val="22"/>
              </w:rPr>
            </w:pPr>
            <w:r>
              <w:rPr>
                <w:sz w:val="22"/>
                <w:szCs w:val="22"/>
              </w:rPr>
              <w:t>Meziroční % vývoj</w:t>
            </w:r>
          </w:p>
        </w:tc>
      </w:tr>
      <w:tr w:rsidR="00A64035" w:rsidRPr="00657668" w:rsidTr="0075074A">
        <w:tc>
          <w:tcPr>
            <w:tcW w:w="4503" w:type="dxa"/>
            <w:shd w:val="clear" w:color="auto" w:fill="auto"/>
          </w:tcPr>
          <w:p w:rsidR="00A64035" w:rsidRDefault="00A64035" w:rsidP="0075074A">
            <w:pPr>
              <w:rPr>
                <w:sz w:val="22"/>
                <w:szCs w:val="22"/>
              </w:rPr>
            </w:pPr>
          </w:p>
        </w:tc>
        <w:tc>
          <w:tcPr>
            <w:tcW w:w="1275" w:type="dxa"/>
            <w:shd w:val="clear" w:color="auto" w:fill="auto"/>
          </w:tcPr>
          <w:p w:rsidR="00A64035" w:rsidRPr="00657668" w:rsidRDefault="00A64035" w:rsidP="0075074A">
            <w:pPr>
              <w:rPr>
                <w:sz w:val="22"/>
                <w:szCs w:val="22"/>
              </w:rPr>
            </w:pPr>
          </w:p>
        </w:tc>
        <w:tc>
          <w:tcPr>
            <w:tcW w:w="1560" w:type="dxa"/>
            <w:shd w:val="clear" w:color="auto" w:fill="auto"/>
          </w:tcPr>
          <w:p w:rsidR="00A64035" w:rsidRPr="00657668" w:rsidRDefault="00A64035" w:rsidP="0075074A">
            <w:pPr>
              <w:rPr>
                <w:sz w:val="22"/>
                <w:szCs w:val="22"/>
              </w:rPr>
            </w:pPr>
          </w:p>
        </w:tc>
        <w:tc>
          <w:tcPr>
            <w:tcW w:w="1874" w:type="dxa"/>
            <w:shd w:val="clear" w:color="auto" w:fill="auto"/>
          </w:tcPr>
          <w:p w:rsidR="00A64035" w:rsidRPr="00657668" w:rsidRDefault="00A64035" w:rsidP="0075074A">
            <w:pPr>
              <w:rPr>
                <w:sz w:val="22"/>
                <w:szCs w:val="22"/>
              </w:rPr>
            </w:pPr>
          </w:p>
        </w:tc>
      </w:tr>
      <w:tr w:rsidR="00A64035" w:rsidRPr="00657668" w:rsidTr="0075074A">
        <w:tc>
          <w:tcPr>
            <w:tcW w:w="4503" w:type="dxa"/>
            <w:shd w:val="clear" w:color="auto" w:fill="auto"/>
          </w:tcPr>
          <w:p w:rsidR="00A64035" w:rsidRDefault="00A64035" w:rsidP="0075074A">
            <w:pPr>
              <w:rPr>
                <w:sz w:val="22"/>
                <w:szCs w:val="22"/>
              </w:rPr>
            </w:pPr>
            <w:r>
              <w:rPr>
                <w:sz w:val="22"/>
                <w:szCs w:val="22"/>
              </w:rPr>
              <w:t>Ocenit práci kvalitních pracovníků.</w:t>
            </w:r>
          </w:p>
        </w:tc>
        <w:tc>
          <w:tcPr>
            <w:tcW w:w="1275" w:type="dxa"/>
            <w:shd w:val="clear" w:color="auto" w:fill="auto"/>
          </w:tcPr>
          <w:p w:rsidR="00A64035" w:rsidRPr="00657668" w:rsidRDefault="00A64035" w:rsidP="0075074A">
            <w:pPr>
              <w:rPr>
                <w:sz w:val="22"/>
                <w:szCs w:val="22"/>
              </w:rPr>
            </w:pPr>
            <w:r>
              <w:rPr>
                <w:sz w:val="22"/>
                <w:szCs w:val="22"/>
              </w:rPr>
              <w:t>RSMCH</w:t>
            </w:r>
          </w:p>
        </w:tc>
        <w:tc>
          <w:tcPr>
            <w:tcW w:w="1560" w:type="dxa"/>
            <w:shd w:val="clear" w:color="auto" w:fill="auto"/>
          </w:tcPr>
          <w:p w:rsidR="00A64035" w:rsidRPr="00657668" w:rsidRDefault="00A64035" w:rsidP="0075074A">
            <w:pPr>
              <w:rPr>
                <w:sz w:val="22"/>
                <w:szCs w:val="22"/>
              </w:rPr>
            </w:pPr>
            <w:r>
              <w:rPr>
                <w:sz w:val="22"/>
                <w:szCs w:val="22"/>
              </w:rPr>
              <w:t>ŘŠ/VVVZ</w:t>
            </w:r>
          </w:p>
        </w:tc>
        <w:tc>
          <w:tcPr>
            <w:tcW w:w="1874" w:type="dxa"/>
            <w:shd w:val="clear" w:color="auto" w:fill="auto"/>
          </w:tcPr>
          <w:p w:rsidR="00A64035" w:rsidRPr="00657668" w:rsidRDefault="00A64035" w:rsidP="0075074A">
            <w:pPr>
              <w:rPr>
                <w:sz w:val="22"/>
                <w:szCs w:val="22"/>
              </w:rPr>
            </w:pPr>
            <w:r>
              <w:rPr>
                <w:sz w:val="22"/>
                <w:szCs w:val="22"/>
              </w:rPr>
              <w:t>Počet oceněných</w:t>
            </w:r>
          </w:p>
        </w:tc>
      </w:tr>
    </w:tbl>
    <w:p w:rsidR="00A64035" w:rsidRPr="00657668" w:rsidRDefault="00A64035" w:rsidP="00A64035">
      <w:pPr>
        <w:rPr>
          <w:sz w:val="22"/>
          <w:szCs w:val="22"/>
        </w:rPr>
        <w:sectPr w:rsidR="00A64035" w:rsidRPr="00657668" w:rsidSect="00A64035">
          <w:headerReference w:type="default" r:id="rId10"/>
          <w:footerReference w:type="default" r:id="rId11"/>
          <w:pgSz w:w="11906" w:h="16838"/>
          <w:pgMar w:top="1417" w:right="1417" w:bottom="1417" w:left="1417" w:header="708" w:footer="708" w:gutter="0"/>
          <w:pgNumType w:start="0"/>
          <w:cols w:space="708"/>
          <w:titlePg/>
          <w:docGrid w:linePitch="360"/>
        </w:sectPr>
      </w:pPr>
      <w:r w:rsidRPr="00657668">
        <w:rPr>
          <w:sz w:val="22"/>
          <w:szCs w:val="22"/>
        </w:rPr>
        <w:t xml:space="preserve"> </w:t>
      </w:r>
    </w:p>
    <w:p w:rsidR="00A64035" w:rsidRPr="00657668" w:rsidRDefault="00A64035" w:rsidP="00A64035">
      <w:pPr>
        <w:rPr>
          <w:sz w:val="22"/>
          <w:szCs w:val="22"/>
        </w:rPr>
      </w:pPr>
    </w:p>
    <w:p w:rsidR="00A64035" w:rsidRDefault="00A64035" w:rsidP="00A64035">
      <w:pPr>
        <w:rPr>
          <w:sz w:val="22"/>
          <w:szCs w:val="22"/>
        </w:rPr>
      </w:pPr>
    </w:p>
    <w:p w:rsidR="00A64035" w:rsidRDefault="00A64035" w:rsidP="00A64035">
      <w:pPr>
        <w:rPr>
          <w:sz w:val="22"/>
          <w:szCs w:val="22"/>
        </w:rPr>
      </w:pPr>
    </w:p>
    <w:p w:rsidR="00A64035" w:rsidRDefault="00A64035" w:rsidP="00A64035">
      <w:pPr>
        <w:rPr>
          <w:sz w:val="22"/>
          <w:szCs w:val="22"/>
        </w:rPr>
      </w:pPr>
    </w:p>
    <w:p w:rsidR="00A64035" w:rsidRPr="00657668" w:rsidRDefault="00A64035" w:rsidP="00A64035">
      <w:pPr>
        <w:rPr>
          <w:sz w:val="22"/>
          <w:szCs w:val="22"/>
        </w:rPr>
      </w:pPr>
    </w:p>
    <w:p w:rsidR="00A64035" w:rsidRPr="00F12836" w:rsidRDefault="00A64035" w:rsidP="00557F1F">
      <w:pPr>
        <w:pStyle w:val="Nadpis2"/>
        <w:numPr>
          <w:ilvl w:val="1"/>
          <w:numId w:val="3"/>
        </w:numPr>
        <w:rPr>
          <w:szCs w:val="22"/>
        </w:rPr>
      </w:pPr>
      <w:r w:rsidRPr="00F12836">
        <w:rPr>
          <w:szCs w:val="22"/>
        </w:rPr>
        <w:lastRenderedPageBreak/>
        <w:t>ZÁKLADNÍ ŠKOLSTVÍ</w:t>
      </w:r>
    </w:p>
    <w:p w:rsidR="00A64035" w:rsidRPr="00206C56" w:rsidRDefault="00A64035" w:rsidP="0075074A">
      <w:pPr>
        <w:pStyle w:val="Nadpis3"/>
      </w:pPr>
      <w:r w:rsidRPr="00206C56">
        <w:t>Základní školy</w:t>
      </w:r>
    </w:p>
    <w:p w:rsidR="00A64035" w:rsidRPr="00206C56" w:rsidRDefault="00A64035" w:rsidP="00A64035">
      <w:pPr>
        <w:rPr>
          <w:lang w:eastAsia="x-none"/>
        </w:rPr>
      </w:pPr>
    </w:p>
    <w:p w:rsidR="00A64035" w:rsidRPr="00657668" w:rsidRDefault="00A64035" w:rsidP="00A64035">
      <w:pPr>
        <w:rPr>
          <w:sz w:val="22"/>
          <w:szCs w:val="22"/>
        </w:rPr>
      </w:pPr>
      <w:r w:rsidRPr="00657668">
        <w:rPr>
          <w:sz w:val="22"/>
          <w:szCs w:val="22"/>
        </w:rPr>
        <w:t>Školy</w:t>
      </w:r>
      <w:r>
        <w:rPr>
          <w:sz w:val="22"/>
          <w:szCs w:val="22"/>
        </w:rPr>
        <w:t xml:space="preserve"> zřízené statutárním městem Chomutov</w:t>
      </w:r>
      <w:r w:rsidRPr="00657668">
        <w:rPr>
          <w:sz w:val="22"/>
          <w:szCs w:val="22"/>
        </w:rPr>
        <w:t xml:space="preserve"> byly k  1. lednu 2005 zařazeny do školského rejstříku s níže uvedenými kapacitami.  K 1. září 20</w:t>
      </w:r>
      <w:r>
        <w:rPr>
          <w:sz w:val="22"/>
          <w:szCs w:val="22"/>
        </w:rPr>
        <w:t>1</w:t>
      </w:r>
      <w:r w:rsidRPr="00657668">
        <w:rPr>
          <w:sz w:val="22"/>
          <w:szCs w:val="22"/>
        </w:rPr>
        <w:t xml:space="preserve">1 charakterizuje kapacitu škol níže uvedené tabulka. Úpravy kapacit byly ovlivněny optimalizací škol, průběžnými změnami s ohledem na požadavky </w:t>
      </w:r>
      <w:r>
        <w:rPr>
          <w:sz w:val="22"/>
          <w:szCs w:val="22"/>
        </w:rPr>
        <w:t xml:space="preserve">na </w:t>
      </w:r>
      <w:r w:rsidRPr="00657668">
        <w:rPr>
          <w:sz w:val="22"/>
          <w:szCs w:val="22"/>
        </w:rPr>
        <w:t>umístění žáků, profilací škol a stavebně technickými úprav</w:t>
      </w:r>
      <w:r>
        <w:rPr>
          <w:sz w:val="22"/>
          <w:szCs w:val="22"/>
        </w:rPr>
        <w:t>ami</w:t>
      </w:r>
      <w:r w:rsidRPr="00657668">
        <w:rPr>
          <w:sz w:val="22"/>
          <w:szCs w:val="22"/>
        </w:rPr>
        <w:t xml:space="preserve"> </w:t>
      </w:r>
      <w:r>
        <w:rPr>
          <w:sz w:val="22"/>
          <w:szCs w:val="22"/>
        </w:rPr>
        <w:br/>
        <w:t>k</w:t>
      </w:r>
      <w:r w:rsidRPr="00657668">
        <w:rPr>
          <w:sz w:val="22"/>
          <w:szCs w:val="22"/>
        </w:rPr>
        <w:t xml:space="preserve">e zlepšení podmínek vzdělávání. </w:t>
      </w:r>
    </w:p>
    <w:p w:rsidR="00A64035" w:rsidRPr="00657668" w:rsidRDefault="00A64035" w:rsidP="00A64035">
      <w:pPr>
        <w:pStyle w:val="Normlnweb"/>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2867"/>
      </w:tblGrid>
      <w:tr w:rsidR="00A64035" w:rsidRPr="00657668" w:rsidTr="0075074A">
        <w:tc>
          <w:tcPr>
            <w:tcW w:w="2943" w:type="dxa"/>
            <w:shd w:val="clear" w:color="auto" w:fill="auto"/>
          </w:tcPr>
          <w:p w:rsidR="00A64035" w:rsidRPr="00657668" w:rsidRDefault="00A64035" w:rsidP="0075074A">
            <w:pPr>
              <w:pStyle w:val="Normlnweb"/>
              <w:spacing w:before="0" w:beforeAutospacing="0" w:after="0" w:afterAutospacing="0"/>
            </w:pPr>
            <w:r w:rsidRPr="00657668">
              <w:t xml:space="preserve">Druh </w:t>
            </w:r>
          </w:p>
        </w:tc>
        <w:tc>
          <w:tcPr>
            <w:tcW w:w="3402" w:type="dxa"/>
            <w:shd w:val="clear" w:color="auto" w:fill="auto"/>
          </w:tcPr>
          <w:p w:rsidR="00A64035" w:rsidRPr="00657668" w:rsidRDefault="00A64035" w:rsidP="0075074A">
            <w:pPr>
              <w:pStyle w:val="Normlnweb"/>
              <w:spacing w:before="0" w:beforeAutospacing="0" w:after="0" w:afterAutospacing="0"/>
            </w:pPr>
            <w:r w:rsidRPr="00657668">
              <w:t>Stav k 1. lednu 2005</w:t>
            </w:r>
          </w:p>
        </w:tc>
        <w:tc>
          <w:tcPr>
            <w:tcW w:w="2867" w:type="dxa"/>
            <w:shd w:val="clear" w:color="auto" w:fill="auto"/>
          </w:tcPr>
          <w:p w:rsidR="00A64035" w:rsidRPr="00657668" w:rsidRDefault="00A64035" w:rsidP="0075074A">
            <w:pPr>
              <w:pStyle w:val="Normlnweb"/>
              <w:spacing w:before="0" w:beforeAutospacing="0" w:after="0" w:afterAutospacing="0"/>
            </w:pPr>
            <w:r w:rsidRPr="00657668">
              <w:t>Stav k 1. září 2011</w:t>
            </w:r>
          </w:p>
        </w:tc>
      </w:tr>
      <w:tr w:rsidR="00A64035" w:rsidRPr="00657668" w:rsidTr="0075074A">
        <w:trPr>
          <w:trHeight w:val="20"/>
        </w:trPr>
        <w:tc>
          <w:tcPr>
            <w:tcW w:w="2943" w:type="dxa"/>
            <w:shd w:val="clear" w:color="auto" w:fill="auto"/>
          </w:tcPr>
          <w:p w:rsidR="00A64035" w:rsidRPr="00657668" w:rsidRDefault="00A64035" w:rsidP="0075074A">
            <w:pPr>
              <w:pStyle w:val="Normlnweb"/>
              <w:spacing w:before="0" w:beforeAutospacing="0" w:after="0" w:afterAutospacing="0"/>
            </w:pPr>
            <w:r w:rsidRPr="00657668">
              <w:t>mateřské školy</w:t>
            </w:r>
          </w:p>
        </w:tc>
        <w:tc>
          <w:tcPr>
            <w:tcW w:w="3402" w:type="dxa"/>
            <w:shd w:val="clear" w:color="auto" w:fill="auto"/>
          </w:tcPr>
          <w:p w:rsidR="00A64035" w:rsidRPr="00657668" w:rsidRDefault="00A64035" w:rsidP="0075074A">
            <w:pPr>
              <w:pStyle w:val="Normlnweb"/>
              <w:spacing w:before="0" w:beforeAutospacing="0" w:after="0" w:afterAutospacing="0"/>
            </w:pPr>
            <w:r w:rsidRPr="00657668">
              <w:t>1658 dětí</w:t>
            </w:r>
          </w:p>
        </w:tc>
        <w:tc>
          <w:tcPr>
            <w:tcW w:w="2867" w:type="dxa"/>
            <w:shd w:val="clear" w:color="auto" w:fill="auto"/>
          </w:tcPr>
          <w:p w:rsidR="00A64035" w:rsidRPr="00657668" w:rsidRDefault="00A64035" w:rsidP="0075074A">
            <w:pPr>
              <w:pStyle w:val="Normlnweb"/>
              <w:spacing w:before="0" w:beforeAutospacing="0" w:after="0" w:afterAutospacing="0"/>
            </w:pPr>
            <w:r w:rsidRPr="00657668">
              <w:t>1519</w:t>
            </w:r>
            <w:r>
              <w:t xml:space="preserve"> dětí</w:t>
            </w:r>
          </w:p>
        </w:tc>
      </w:tr>
      <w:tr w:rsidR="00A64035" w:rsidRPr="00657668" w:rsidTr="0075074A">
        <w:trPr>
          <w:trHeight w:val="20"/>
        </w:trPr>
        <w:tc>
          <w:tcPr>
            <w:tcW w:w="2943" w:type="dxa"/>
            <w:shd w:val="clear" w:color="auto" w:fill="auto"/>
          </w:tcPr>
          <w:p w:rsidR="00A64035" w:rsidRPr="00657668" w:rsidRDefault="00A64035" w:rsidP="0075074A">
            <w:pPr>
              <w:pStyle w:val="Normlnweb"/>
              <w:spacing w:before="0" w:beforeAutospacing="0" w:after="0" w:afterAutospacing="0"/>
            </w:pPr>
            <w:r w:rsidRPr="00657668">
              <w:t xml:space="preserve">základní školy </w:t>
            </w:r>
            <w:r w:rsidRPr="00657668">
              <w:tab/>
            </w:r>
          </w:p>
        </w:tc>
        <w:tc>
          <w:tcPr>
            <w:tcW w:w="3402" w:type="dxa"/>
            <w:shd w:val="clear" w:color="auto" w:fill="auto"/>
          </w:tcPr>
          <w:p w:rsidR="00A64035" w:rsidRPr="00657668" w:rsidRDefault="00A64035" w:rsidP="0075074A">
            <w:pPr>
              <w:pStyle w:val="Normlnweb"/>
              <w:spacing w:before="0" w:beforeAutospacing="0" w:after="0" w:afterAutospacing="0"/>
            </w:pPr>
            <w:r w:rsidRPr="00657668">
              <w:t>6460 žáků</w:t>
            </w:r>
          </w:p>
        </w:tc>
        <w:tc>
          <w:tcPr>
            <w:tcW w:w="2867" w:type="dxa"/>
            <w:shd w:val="clear" w:color="auto" w:fill="auto"/>
          </w:tcPr>
          <w:p w:rsidR="00A64035" w:rsidRPr="00657668" w:rsidRDefault="00A64035" w:rsidP="0075074A">
            <w:pPr>
              <w:pStyle w:val="Normlnweb"/>
              <w:spacing w:before="0" w:beforeAutospacing="0" w:after="0" w:afterAutospacing="0"/>
            </w:pPr>
            <w:r w:rsidRPr="00657668">
              <w:t>5300</w:t>
            </w:r>
            <w:r>
              <w:t xml:space="preserve"> žáků</w:t>
            </w:r>
          </w:p>
        </w:tc>
      </w:tr>
      <w:tr w:rsidR="00A64035" w:rsidRPr="00657668" w:rsidTr="0075074A">
        <w:trPr>
          <w:trHeight w:val="20"/>
        </w:trPr>
        <w:tc>
          <w:tcPr>
            <w:tcW w:w="2943" w:type="dxa"/>
            <w:shd w:val="clear" w:color="auto" w:fill="auto"/>
          </w:tcPr>
          <w:p w:rsidR="00A64035" w:rsidRPr="00657668" w:rsidRDefault="00A64035" w:rsidP="0075074A">
            <w:pPr>
              <w:pStyle w:val="Normlnweb"/>
              <w:spacing w:before="0" w:beforeAutospacing="0" w:after="0" w:afterAutospacing="0"/>
            </w:pPr>
            <w:r w:rsidRPr="00657668">
              <w:t>speciální základní školy</w:t>
            </w:r>
          </w:p>
        </w:tc>
        <w:tc>
          <w:tcPr>
            <w:tcW w:w="3402" w:type="dxa"/>
            <w:shd w:val="clear" w:color="auto" w:fill="auto"/>
          </w:tcPr>
          <w:p w:rsidR="00A64035" w:rsidRPr="00657668" w:rsidRDefault="00A64035" w:rsidP="0075074A">
            <w:pPr>
              <w:pStyle w:val="Normlnweb"/>
              <w:spacing w:before="0" w:beforeAutospacing="0" w:after="0" w:afterAutospacing="0"/>
            </w:pPr>
            <w:r w:rsidRPr="00657668">
              <w:t>490 žáků</w:t>
            </w:r>
          </w:p>
        </w:tc>
        <w:tc>
          <w:tcPr>
            <w:tcW w:w="2867" w:type="dxa"/>
            <w:shd w:val="clear" w:color="auto" w:fill="auto"/>
          </w:tcPr>
          <w:p w:rsidR="00A64035" w:rsidRPr="00657668" w:rsidRDefault="00A64035" w:rsidP="0075074A">
            <w:pPr>
              <w:pStyle w:val="Normlnweb"/>
              <w:spacing w:before="0" w:beforeAutospacing="0" w:after="0" w:afterAutospacing="0"/>
            </w:pPr>
            <w:r w:rsidRPr="00657668">
              <w:t>470</w:t>
            </w:r>
            <w:r>
              <w:t xml:space="preserve"> žáků</w:t>
            </w:r>
          </w:p>
        </w:tc>
      </w:tr>
      <w:tr w:rsidR="00A64035" w:rsidRPr="00657668" w:rsidTr="0075074A">
        <w:trPr>
          <w:trHeight w:val="20"/>
        </w:trPr>
        <w:tc>
          <w:tcPr>
            <w:tcW w:w="2943" w:type="dxa"/>
            <w:shd w:val="clear" w:color="auto" w:fill="auto"/>
          </w:tcPr>
          <w:p w:rsidR="00A64035" w:rsidRPr="00657668" w:rsidRDefault="00A64035" w:rsidP="0075074A">
            <w:pPr>
              <w:pStyle w:val="Normlnweb"/>
              <w:spacing w:before="0" w:beforeAutospacing="0" w:after="0" w:afterAutospacing="0"/>
            </w:pPr>
            <w:r w:rsidRPr="00657668">
              <w:t>školní družiny</w:t>
            </w:r>
          </w:p>
        </w:tc>
        <w:tc>
          <w:tcPr>
            <w:tcW w:w="3402" w:type="dxa"/>
            <w:shd w:val="clear" w:color="auto" w:fill="auto"/>
          </w:tcPr>
          <w:p w:rsidR="00A64035" w:rsidRPr="00657668" w:rsidRDefault="00A64035" w:rsidP="0075074A">
            <w:pPr>
              <w:pStyle w:val="Normlnweb"/>
              <w:spacing w:before="0" w:beforeAutospacing="0" w:after="0" w:afterAutospacing="0"/>
            </w:pPr>
            <w:r w:rsidRPr="00657668">
              <w:t>1479 žáků</w:t>
            </w:r>
          </w:p>
        </w:tc>
        <w:tc>
          <w:tcPr>
            <w:tcW w:w="2867" w:type="dxa"/>
            <w:shd w:val="clear" w:color="auto" w:fill="auto"/>
          </w:tcPr>
          <w:p w:rsidR="00A64035" w:rsidRPr="00657668" w:rsidRDefault="00A64035" w:rsidP="0075074A">
            <w:pPr>
              <w:pStyle w:val="Normlnweb"/>
              <w:spacing w:before="0" w:beforeAutospacing="0" w:after="0" w:afterAutospacing="0"/>
            </w:pPr>
            <w:r w:rsidRPr="00657668">
              <w:t>1280</w:t>
            </w:r>
            <w:r>
              <w:t xml:space="preserve"> žáků </w:t>
            </w:r>
          </w:p>
        </w:tc>
      </w:tr>
      <w:tr w:rsidR="00A64035" w:rsidRPr="00657668" w:rsidTr="0075074A">
        <w:tc>
          <w:tcPr>
            <w:tcW w:w="2943" w:type="dxa"/>
            <w:shd w:val="clear" w:color="auto" w:fill="auto"/>
          </w:tcPr>
          <w:p w:rsidR="00A64035" w:rsidRPr="00657668" w:rsidRDefault="00A64035" w:rsidP="0075074A">
            <w:pPr>
              <w:pStyle w:val="Normlnweb"/>
              <w:spacing w:before="0" w:beforeAutospacing="0" w:after="0" w:afterAutospacing="0"/>
            </w:pPr>
            <w:r w:rsidRPr="00657668">
              <w:t>školní jídelny</w:t>
            </w:r>
          </w:p>
        </w:tc>
        <w:tc>
          <w:tcPr>
            <w:tcW w:w="3402" w:type="dxa"/>
            <w:shd w:val="clear" w:color="auto" w:fill="auto"/>
          </w:tcPr>
          <w:p w:rsidR="00A64035" w:rsidRPr="00657668" w:rsidRDefault="00A64035" w:rsidP="0075074A">
            <w:pPr>
              <w:pStyle w:val="Normlnweb"/>
              <w:spacing w:before="0" w:beforeAutospacing="0" w:after="0" w:afterAutospacing="0"/>
            </w:pPr>
            <w:r w:rsidRPr="00657668">
              <w:t>6516 obědů (4690 ŠJZŠ, 1826 ŠJMŠ)</w:t>
            </w:r>
          </w:p>
        </w:tc>
        <w:tc>
          <w:tcPr>
            <w:tcW w:w="2867" w:type="dxa"/>
            <w:shd w:val="clear" w:color="auto" w:fill="auto"/>
          </w:tcPr>
          <w:p w:rsidR="00A64035" w:rsidRPr="00657668" w:rsidRDefault="00A64035" w:rsidP="0075074A">
            <w:pPr>
              <w:pStyle w:val="Normlnweb"/>
              <w:spacing w:before="0" w:beforeAutospacing="0" w:after="0" w:afterAutospacing="0"/>
            </w:pPr>
            <w:r w:rsidRPr="00657668">
              <w:t>6776 obědů (4740 ŠJZŠ, 2036 ŠJMŠ)</w:t>
            </w:r>
          </w:p>
        </w:tc>
      </w:tr>
    </w:tbl>
    <w:p w:rsidR="00A64035" w:rsidRPr="00657668" w:rsidRDefault="00A64035" w:rsidP="00A64035">
      <w:pPr>
        <w:pStyle w:val="Normlnweb"/>
        <w:spacing w:before="0" w:beforeAutospacing="0" w:after="0" w:afterAutospacing="0"/>
      </w:pPr>
      <w:r w:rsidRPr="00657668">
        <w:tab/>
      </w:r>
      <w:r w:rsidRPr="00657668">
        <w:tab/>
      </w:r>
      <w:r w:rsidRPr="00657668">
        <w:tab/>
      </w:r>
      <w:r w:rsidRPr="00657668">
        <w:tab/>
      </w:r>
      <w:r w:rsidRPr="00657668">
        <w:tab/>
      </w:r>
    </w:p>
    <w:p w:rsidR="00A64035" w:rsidRPr="00657668" w:rsidRDefault="00A64035" w:rsidP="00A64035">
      <w:pPr>
        <w:pStyle w:val="Normlnweb"/>
        <w:spacing w:before="0" w:beforeAutospacing="0" w:after="0" w:afterAutospacing="0"/>
        <w:rPr>
          <w:dstrike/>
        </w:rPr>
      </w:pPr>
      <w:r w:rsidRPr="00657668">
        <w:t xml:space="preserve">Z výkazů základních škol zpracovávaných vždy podle stavu k datu 30. září příslušného kalendářního roku je patrné, že v posledních 3 letech došlo ke stabilizaci počtu žáků v základních školách. Demografický pokles mezi roky 2009/2010 a 2010/2011 a 2010/2011 </w:t>
      </w:r>
      <w:r>
        <w:br/>
      </w:r>
      <w:r w:rsidRPr="00657668">
        <w:t xml:space="preserve">a 2011/2012 představuje pouze 8 žáků, tj. 0,17%. </w:t>
      </w:r>
      <w:r w:rsidRPr="00657668">
        <w:rPr>
          <w:dstrike/>
        </w:rPr>
        <w:t xml:space="preserve"> </w:t>
      </w:r>
    </w:p>
    <w:p w:rsidR="00A64035" w:rsidRPr="00657668" w:rsidRDefault="00A64035" w:rsidP="00A64035">
      <w:pPr>
        <w:pStyle w:val="Normlnweb"/>
        <w:spacing w:before="120" w:beforeAutospacing="0" w:after="0" w:afterAutospacing="0"/>
      </w:pPr>
      <w:r>
        <w:t>Chomutovské š</w:t>
      </w:r>
      <w:r w:rsidRPr="00657668">
        <w:t xml:space="preserve">koly podporují rozvoj žáků v různých oborových zaměřeních. V rámci města nabízí školy </w:t>
      </w:r>
      <w:r>
        <w:t xml:space="preserve">školní </w:t>
      </w:r>
      <w:r w:rsidRPr="00657668">
        <w:t xml:space="preserve">vzdělávací programy s touto orientací a profilací: </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Základní škola Chomutov, Zahradní 5265 – cizí jazyky</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Základní škola Chomutov, Na Příkopech 895 – informatika a výpočetní technika, tělesná výchova se zaměřením na atletiku, florbal a kopanou</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Základní škola Chomutov, Kadaňská 2334 – škola zařazena do sítě projektu Zdravá škola</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Základní škola Chomutov, Písečná 5144 – tělesná výchova (kopaná, košíková, florbal, atletika)</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 xml:space="preserve">Základní škola Chomutov, Hornická 4387 – tělesná výchova se zaměřením </w:t>
      </w:r>
      <w:r w:rsidRPr="00657668">
        <w:rPr>
          <w:rFonts w:ascii="Arial" w:hAnsi="Arial" w:cs="Arial"/>
          <w:sz w:val="22"/>
          <w:szCs w:val="22"/>
        </w:rPr>
        <w:br/>
        <w:t>na lední hokej</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Základní škola Chomutov, Školní 1480 – matematika a přírodověda</w:t>
      </w:r>
      <w:r>
        <w:rPr>
          <w:rFonts w:ascii="Arial" w:hAnsi="Arial" w:cs="Arial"/>
          <w:sz w:val="22"/>
          <w:szCs w:val="22"/>
        </w:rPr>
        <w:t>, třídy pro žáky se speciálními vzdělávacími potřebami</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Základní škola Chomutov, Akademika Heyrovského 4539 – tělesná výchova, přípravná třída pro děti se sociálním znevýhodněním</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Základní škola Chomutov, Březenecká 4679 – bezbariérová škola pro žáky tělesně postižené, tělesná výchova (moderní gymnastika, kanoistika, florbal, národní házená)</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 xml:space="preserve">Základní škola a Mateřská škola, Chomutov, 17. listopadu 4728, příspěvková organizace – speciální škola pro žáky mentálně postižené, přípravné třídy </w:t>
      </w:r>
      <w:r w:rsidRPr="00657668">
        <w:rPr>
          <w:rFonts w:ascii="Arial" w:hAnsi="Arial" w:cs="Arial"/>
          <w:sz w:val="22"/>
          <w:szCs w:val="22"/>
        </w:rPr>
        <w:br/>
        <w:t>pro děti se sociálním znevýhodněním, rehabilitační vzdělávací program, třídy základní školy při nemocnici, třída mateřské školy při nemocnici</w:t>
      </w:r>
    </w:p>
    <w:p w:rsidR="00A64035" w:rsidRPr="00657668"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Základní škola speciální a Mateřská škola, Chomutov, Palachova 4881, příspěvková organizace – speciální škola pro žáky těžce mentálně postižené, rehabilitační vzdělávací program, mateřská škola se speciální třídou</w:t>
      </w:r>
    </w:p>
    <w:p w:rsidR="00A64035" w:rsidRDefault="00A64035" w:rsidP="00557F1F">
      <w:pPr>
        <w:pStyle w:val="Odstavecseseznamem"/>
        <w:numPr>
          <w:ilvl w:val="0"/>
          <w:numId w:val="1"/>
        </w:numPr>
        <w:spacing w:after="200"/>
        <w:contextualSpacing/>
        <w:rPr>
          <w:rFonts w:ascii="Arial" w:hAnsi="Arial" w:cs="Arial"/>
          <w:sz w:val="22"/>
          <w:szCs w:val="22"/>
        </w:rPr>
      </w:pPr>
      <w:r w:rsidRPr="00657668">
        <w:rPr>
          <w:rFonts w:ascii="Arial" w:hAnsi="Arial" w:cs="Arial"/>
          <w:sz w:val="22"/>
          <w:szCs w:val="22"/>
        </w:rPr>
        <w:t xml:space="preserve">Základní umělecká škola T. G. Masaryka Chomutov – obor hudební, taneční, </w:t>
      </w:r>
      <w:r w:rsidR="0075074A">
        <w:rPr>
          <w:rFonts w:ascii="Arial" w:hAnsi="Arial" w:cs="Arial"/>
          <w:sz w:val="22"/>
          <w:szCs w:val="22"/>
        </w:rPr>
        <w:t>výtvarný a literárně-dramatický</w:t>
      </w:r>
    </w:p>
    <w:p w:rsidR="00A64035" w:rsidRPr="0075074A" w:rsidRDefault="00A64035" w:rsidP="00557F1F">
      <w:pPr>
        <w:pStyle w:val="Odstavecseseznamem"/>
        <w:numPr>
          <w:ilvl w:val="0"/>
          <w:numId w:val="1"/>
        </w:numPr>
        <w:spacing w:after="200"/>
        <w:contextualSpacing/>
        <w:rPr>
          <w:i/>
          <w:sz w:val="22"/>
          <w:szCs w:val="22"/>
        </w:rPr>
      </w:pPr>
      <w:r w:rsidRPr="00DC686D">
        <w:rPr>
          <w:rFonts w:ascii="Arial" w:hAnsi="Arial" w:cs="Arial"/>
          <w:sz w:val="22"/>
          <w:szCs w:val="22"/>
        </w:rPr>
        <w:t>Základní škola Duhová cesta, s.r.o. – soukromá základní škola s nabídkou vzdělávání od 1. do 9. ročníku</w:t>
      </w:r>
    </w:p>
    <w:p w:rsidR="00A64035" w:rsidRPr="00206C56" w:rsidRDefault="00A64035" w:rsidP="0075074A">
      <w:pPr>
        <w:pStyle w:val="Nadpis3"/>
      </w:pPr>
      <w:r w:rsidRPr="00206C56">
        <w:lastRenderedPageBreak/>
        <w:t>Školní služby</w:t>
      </w:r>
    </w:p>
    <w:p w:rsidR="00A64035" w:rsidRPr="00206C56" w:rsidRDefault="00A64035" w:rsidP="00A64035">
      <w:pPr>
        <w:rPr>
          <w:lang w:eastAsia="x-none"/>
        </w:rPr>
      </w:pPr>
    </w:p>
    <w:p w:rsidR="00A64035" w:rsidRPr="00657668" w:rsidRDefault="00A64035" w:rsidP="00557F1F">
      <w:pPr>
        <w:pStyle w:val="Odstavecseseznamem"/>
        <w:numPr>
          <w:ilvl w:val="0"/>
          <w:numId w:val="1"/>
        </w:numPr>
        <w:spacing w:after="200" w:line="276" w:lineRule="auto"/>
        <w:contextualSpacing/>
        <w:rPr>
          <w:rFonts w:ascii="Arial" w:hAnsi="Arial" w:cs="Arial"/>
          <w:b/>
          <w:sz w:val="22"/>
          <w:szCs w:val="22"/>
        </w:rPr>
      </w:pPr>
      <w:r w:rsidRPr="00657668">
        <w:rPr>
          <w:rFonts w:ascii="Arial" w:hAnsi="Arial" w:cs="Arial"/>
          <w:b/>
          <w:sz w:val="22"/>
          <w:szCs w:val="22"/>
        </w:rPr>
        <w:t>Školní stravování</w:t>
      </w:r>
    </w:p>
    <w:p w:rsidR="00A64035" w:rsidRDefault="00A64035" w:rsidP="00A64035">
      <w:pPr>
        <w:pStyle w:val="Odstavecseseznamem"/>
        <w:spacing w:after="200" w:line="276" w:lineRule="auto"/>
        <w:ind w:left="720"/>
        <w:contextualSpacing/>
        <w:rPr>
          <w:rFonts w:ascii="Arial" w:hAnsi="Arial" w:cs="Arial"/>
          <w:sz w:val="22"/>
          <w:szCs w:val="22"/>
        </w:rPr>
      </w:pPr>
      <w:r w:rsidRPr="00657668">
        <w:rPr>
          <w:rFonts w:ascii="Arial" w:hAnsi="Arial" w:cs="Arial"/>
          <w:sz w:val="22"/>
          <w:szCs w:val="22"/>
        </w:rPr>
        <w:t xml:space="preserve">Hlavním účelem zařízení školního stravování </w:t>
      </w:r>
      <w:r>
        <w:rPr>
          <w:rFonts w:ascii="Arial" w:hAnsi="Arial" w:cs="Arial"/>
          <w:sz w:val="22"/>
          <w:szCs w:val="22"/>
        </w:rPr>
        <w:t>je</w:t>
      </w:r>
      <w:r w:rsidRPr="00657668">
        <w:rPr>
          <w:rFonts w:ascii="Arial" w:hAnsi="Arial" w:cs="Arial"/>
          <w:sz w:val="22"/>
          <w:szCs w:val="22"/>
        </w:rPr>
        <w:t xml:space="preserve"> školní stravování dětí, žáků a studentů v době jejich pobytu ve škole a ve školském zařízení, a to za úplatu. Jedním z podstatných cílů školního stravování je působení na zdravý vývoj dětí, proto ve školních jídelnách, součástech chomutovských základních škol je poskytování nutričně vyvážené stravy pro všechny věkové kategorie dětí a žáků řídící se výživovými normami. </w:t>
      </w:r>
    </w:p>
    <w:p w:rsidR="00A64035" w:rsidRPr="00657668" w:rsidRDefault="00A64035" w:rsidP="00A64035">
      <w:pPr>
        <w:pStyle w:val="Odstavecseseznamem"/>
        <w:spacing w:after="200" w:line="276" w:lineRule="auto"/>
        <w:ind w:left="720"/>
        <w:contextualSpacing/>
        <w:rPr>
          <w:rFonts w:ascii="Arial" w:hAnsi="Arial" w:cs="Arial"/>
          <w:sz w:val="22"/>
          <w:szCs w:val="22"/>
        </w:rPr>
      </w:pPr>
    </w:p>
    <w:p w:rsidR="00A64035" w:rsidRPr="00657668" w:rsidRDefault="00A64035" w:rsidP="00557F1F">
      <w:pPr>
        <w:pStyle w:val="Odstavecseseznamem"/>
        <w:numPr>
          <w:ilvl w:val="0"/>
          <w:numId w:val="1"/>
        </w:numPr>
        <w:spacing w:after="200" w:line="276" w:lineRule="auto"/>
        <w:contextualSpacing/>
        <w:rPr>
          <w:rFonts w:ascii="Arial" w:hAnsi="Arial" w:cs="Arial"/>
          <w:b/>
          <w:sz w:val="22"/>
          <w:szCs w:val="22"/>
        </w:rPr>
      </w:pPr>
      <w:r w:rsidRPr="00657668">
        <w:rPr>
          <w:rFonts w:ascii="Arial" w:hAnsi="Arial" w:cs="Arial"/>
          <w:b/>
          <w:sz w:val="22"/>
          <w:szCs w:val="22"/>
        </w:rPr>
        <w:t>Školní družiny a kluby</w:t>
      </w:r>
    </w:p>
    <w:p w:rsidR="00A64035" w:rsidRPr="00657668" w:rsidRDefault="00A64035" w:rsidP="00A64035">
      <w:pPr>
        <w:pStyle w:val="Odstavecseseznamem"/>
        <w:spacing w:after="200" w:line="276" w:lineRule="auto"/>
        <w:ind w:left="720"/>
        <w:contextualSpacing/>
        <w:rPr>
          <w:rFonts w:ascii="Arial" w:hAnsi="Arial" w:cs="Arial"/>
          <w:sz w:val="22"/>
          <w:szCs w:val="22"/>
        </w:rPr>
      </w:pPr>
      <w:r w:rsidRPr="00657668">
        <w:rPr>
          <w:rFonts w:ascii="Arial" w:hAnsi="Arial" w:cs="Arial"/>
          <w:sz w:val="22"/>
          <w:szCs w:val="22"/>
        </w:rPr>
        <w:t>Školní družina poskytuje zájmové vzdělávání přednostně pro žáky prvního stupně základní školy, oproti tomu školní klub je určen přednostně pro žáky druhého stupně základní školy. Zájmové vzdělávání je poskytováno zpravidla za úplatu.</w:t>
      </w:r>
    </w:p>
    <w:p w:rsidR="00A64035" w:rsidRPr="00912774" w:rsidRDefault="00A64035" w:rsidP="00A64035">
      <w:pPr>
        <w:pStyle w:val="Odstavecseseznamem"/>
        <w:spacing w:after="200" w:line="276" w:lineRule="auto"/>
        <w:ind w:left="720"/>
        <w:contextualSpacing/>
      </w:pPr>
    </w:p>
    <w:p w:rsidR="00A64035" w:rsidRPr="001D079C" w:rsidRDefault="00A64035" w:rsidP="00A64035">
      <w:pPr>
        <w:spacing w:line="276" w:lineRule="auto"/>
        <w:rPr>
          <w:i/>
          <w:sz w:val="20"/>
        </w:rPr>
      </w:pPr>
      <w:r w:rsidRPr="001D079C">
        <w:rPr>
          <w:i/>
          <w:sz w:val="20"/>
        </w:rPr>
        <w:t>Příloha č. 3. Přehled škol, kontakty</w:t>
      </w:r>
      <w:r w:rsidRPr="001D079C">
        <w:rPr>
          <w:i/>
          <w:sz w:val="20"/>
        </w:rPr>
        <w:br/>
        <w:t xml:space="preserve">Příloha č. 4. Naplněnost ZŠ </w:t>
      </w:r>
      <w:r w:rsidRPr="001D079C">
        <w:rPr>
          <w:i/>
          <w:sz w:val="20"/>
        </w:rPr>
        <w:br/>
        <w:t>Příloha č. 5. Využití kap</w:t>
      </w:r>
      <w:r>
        <w:rPr>
          <w:i/>
          <w:sz w:val="20"/>
        </w:rPr>
        <w:t>acit ŠJ,</w:t>
      </w:r>
      <w:r w:rsidRPr="001D079C">
        <w:rPr>
          <w:i/>
          <w:sz w:val="20"/>
        </w:rPr>
        <w:t xml:space="preserve"> ZŠ</w:t>
      </w:r>
      <w:r w:rsidRPr="001D079C">
        <w:rPr>
          <w:i/>
          <w:sz w:val="20"/>
        </w:rPr>
        <w:br/>
        <w:t>Příloha č. 6. Využití kapacit ŠD</w:t>
      </w:r>
      <w:r>
        <w:rPr>
          <w:i/>
          <w:sz w:val="20"/>
        </w:rPr>
        <w:t>,</w:t>
      </w:r>
      <w:r w:rsidRPr="001D079C">
        <w:rPr>
          <w:i/>
          <w:sz w:val="20"/>
        </w:rPr>
        <w:t xml:space="preserve"> ZŠ</w:t>
      </w:r>
      <w:r w:rsidRPr="001D079C">
        <w:rPr>
          <w:i/>
          <w:sz w:val="20"/>
        </w:rPr>
        <w:br/>
        <w:t>Příloha č. 7. Provozní náklady škol</w:t>
      </w: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p w:rsidR="00A64035" w:rsidRDefault="00A64035" w:rsidP="00A64035">
      <w:pPr>
        <w:rPr>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417"/>
        <w:gridCol w:w="1559"/>
        <w:gridCol w:w="1733"/>
      </w:tblGrid>
      <w:tr w:rsidR="00A64035" w:rsidTr="0075074A">
        <w:tc>
          <w:tcPr>
            <w:tcW w:w="4503" w:type="dxa"/>
            <w:shd w:val="clear" w:color="auto" w:fill="auto"/>
          </w:tcPr>
          <w:p w:rsidR="00A64035" w:rsidRDefault="00A64035" w:rsidP="0075074A">
            <w:r>
              <w:t xml:space="preserve">KONCEPČNÍ CÍLE – OPATŘENÍ </w:t>
            </w:r>
          </w:p>
        </w:tc>
        <w:tc>
          <w:tcPr>
            <w:tcW w:w="1417" w:type="dxa"/>
            <w:shd w:val="clear" w:color="auto" w:fill="auto"/>
          </w:tcPr>
          <w:p w:rsidR="00A64035" w:rsidRDefault="00A64035" w:rsidP="0075074A">
            <w:r>
              <w:t xml:space="preserve">Garant </w:t>
            </w:r>
          </w:p>
        </w:tc>
        <w:tc>
          <w:tcPr>
            <w:tcW w:w="1559" w:type="dxa"/>
            <w:shd w:val="clear" w:color="auto" w:fill="auto"/>
          </w:tcPr>
          <w:p w:rsidR="00A64035" w:rsidRDefault="00A64035" w:rsidP="0075074A">
            <w:r>
              <w:t>Zdroj dat/</w:t>
            </w:r>
            <w:r>
              <w:br/>
              <w:t>sumarizace</w:t>
            </w:r>
          </w:p>
        </w:tc>
        <w:tc>
          <w:tcPr>
            <w:tcW w:w="1733" w:type="dxa"/>
            <w:shd w:val="clear" w:color="auto" w:fill="auto"/>
          </w:tcPr>
          <w:p w:rsidR="00A64035" w:rsidRDefault="00A64035" w:rsidP="0075074A">
            <w:r>
              <w:t xml:space="preserve">Indikátor </w:t>
            </w:r>
          </w:p>
        </w:tc>
      </w:tr>
      <w:tr w:rsidR="00A64035" w:rsidTr="0075074A">
        <w:tc>
          <w:tcPr>
            <w:tcW w:w="4503" w:type="dxa"/>
            <w:shd w:val="clear" w:color="auto" w:fill="auto"/>
          </w:tcPr>
          <w:p w:rsidR="00A64035" w:rsidRPr="00DC686D" w:rsidRDefault="00A64035" w:rsidP="0075074A">
            <w:pPr>
              <w:rPr>
                <w:sz w:val="22"/>
                <w:szCs w:val="22"/>
              </w:rPr>
            </w:pPr>
            <w:r w:rsidRPr="00DC686D">
              <w:rPr>
                <w:sz w:val="22"/>
                <w:szCs w:val="22"/>
              </w:rPr>
              <w:t xml:space="preserve">Pokračovat v postupné racionalizaci neinvestičních </w:t>
            </w:r>
            <w:r>
              <w:rPr>
                <w:sz w:val="22"/>
                <w:szCs w:val="22"/>
              </w:rPr>
              <w:t xml:space="preserve">výdajů </w:t>
            </w:r>
            <w:r w:rsidRPr="00DC686D">
              <w:rPr>
                <w:sz w:val="22"/>
                <w:szCs w:val="22"/>
              </w:rPr>
              <w:t>městem zřizovaných škol, úspory takto v</w:t>
            </w:r>
            <w:r>
              <w:rPr>
                <w:sz w:val="22"/>
                <w:szCs w:val="22"/>
              </w:rPr>
              <w:t xml:space="preserve">zniklé ponechávat </w:t>
            </w:r>
            <w:r>
              <w:rPr>
                <w:sz w:val="22"/>
                <w:szCs w:val="22"/>
              </w:rPr>
              <w:br/>
              <w:t>ve prospěch školství.</w:t>
            </w:r>
          </w:p>
        </w:tc>
        <w:tc>
          <w:tcPr>
            <w:tcW w:w="1417" w:type="dxa"/>
            <w:shd w:val="clear" w:color="auto" w:fill="auto"/>
          </w:tcPr>
          <w:p w:rsidR="00A64035" w:rsidRDefault="00A64035" w:rsidP="0075074A">
            <w:r>
              <w:t>ZSMCH</w:t>
            </w:r>
          </w:p>
        </w:tc>
        <w:tc>
          <w:tcPr>
            <w:tcW w:w="1559" w:type="dxa"/>
            <w:shd w:val="clear" w:color="auto" w:fill="auto"/>
          </w:tcPr>
          <w:p w:rsidR="00A64035" w:rsidRDefault="00A64035" w:rsidP="0075074A">
            <w:r>
              <w:t>ŘŠ/OŠ MMCH</w:t>
            </w:r>
          </w:p>
        </w:tc>
        <w:tc>
          <w:tcPr>
            <w:tcW w:w="1733" w:type="dxa"/>
            <w:shd w:val="clear" w:color="auto" w:fill="auto"/>
          </w:tcPr>
          <w:p w:rsidR="00A64035" w:rsidRDefault="00A64035" w:rsidP="0075074A">
            <w:r>
              <w:t>Meziroční % vývoj</w:t>
            </w:r>
          </w:p>
        </w:tc>
      </w:tr>
      <w:tr w:rsidR="00A64035" w:rsidTr="0075074A">
        <w:tc>
          <w:tcPr>
            <w:tcW w:w="4503" w:type="dxa"/>
            <w:shd w:val="clear" w:color="auto" w:fill="auto"/>
          </w:tcPr>
          <w:p w:rsidR="00A64035" w:rsidRPr="00C1715A" w:rsidRDefault="00A64035" w:rsidP="0075074A"/>
        </w:tc>
        <w:tc>
          <w:tcPr>
            <w:tcW w:w="1417" w:type="dxa"/>
            <w:shd w:val="clear" w:color="auto" w:fill="auto"/>
          </w:tcPr>
          <w:p w:rsidR="00A64035" w:rsidRDefault="00A64035" w:rsidP="0075074A"/>
        </w:tc>
        <w:tc>
          <w:tcPr>
            <w:tcW w:w="1559" w:type="dxa"/>
            <w:shd w:val="clear" w:color="auto" w:fill="auto"/>
          </w:tcPr>
          <w:p w:rsidR="00A64035" w:rsidRDefault="00A64035" w:rsidP="0075074A"/>
        </w:tc>
        <w:tc>
          <w:tcPr>
            <w:tcW w:w="1733" w:type="dxa"/>
            <w:shd w:val="clear" w:color="auto" w:fill="auto"/>
          </w:tcPr>
          <w:p w:rsidR="00A64035" w:rsidRDefault="00A64035" w:rsidP="0075074A"/>
        </w:tc>
      </w:tr>
      <w:tr w:rsidR="00A64035" w:rsidTr="0075074A">
        <w:tc>
          <w:tcPr>
            <w:tcW w:w="4503" w:type="dxa"/>
            <w:shd w:val="clear" w:color="auto" w:fill="auto"/>
          </w:tcPr>
          <w:p w:rsidR="00A64035" w:rsidRPr="00DC686D" w:rsidRDefault="00A64035" w:rsidP="0075074A">
            <w:pPr>
              <w:rPr>
                <w:sz w:val="22"/>
                <w:szCs w:val="22"/>
              </w:rPr>
            </w:pPr>
            <w:r w:rsidRPr="00DC686D">
              <w:rPr>
                <w:sz w:val="22"/>
                <w:szCs w:val="22"/>
              </w:rPr>
              <w:t xml:space="preserve">Zachovat vhodnou formu školního stravování. Podporovat kvalitativní </w:t>
            </w:r>
            <w:r>
              <w:rPr>
                <w:sz w:val="22"/>
                <w:szCs w:val="22"/>
              </w:rPr>
              <w:br/>
            </w:r>
            <w:r w:rsidRPr="00DC686D">
              <w:rPr>
                <w:sz w:val="22"/>
                <w:szCs w:val="22"/>
              </w:rPr>
              <w:t>a kvantitativní rozvoj školních jíd</w:t>
            </w:r>
            <w:r>
              <w:rPr>
                <w:sz w:val="22"/>
                <w:szCs w:val="22"/>
              </w:rPr>
              <w:t>e</w:t>
            </w:r>
            <w:r w:rsidRPr="00DC686D">
              <w:rPr>
                <w:sz w:val="22"/>
                <w:szCs w:val="22"/>
              </w:rPr>
              <w:t>len, např.</w:t>
            </w:r>
            <w:r>
              <w:rPr>
                <w:sz w:val="22"/>
                <w:szCs w:val="22"/>
              </w:rPr>
              <w:t xml:space="preserve"> </w:t>
            </w:r>
            <w:r w:rsidRPr="00DC686D">
              <w:rPr>
                <w:sz w:val="22"/>
                <w:szCs w:val="22"/>
              </w:rPr>
              <w:t>umožn</w:t>
            </w:r>
            <w:r>
              <w:rPr>
                <w:sz w:val="22"/>
                <w:szCs w:val="22"/>
              </w:rPr>
              <w:t>ěním přístupu dalším strávníkům.</w:t>
            </w:r>
          </w:p>
        </w:tc>
        <w:tc>
          <w:tcPr>
            <w:tcW w:w="1417" w:type="dxa"/>
            <w:shd w:val="clear" w:color="auto" w:fill="auto"/>
          </w:tcPr>
          <w:p w:rsidR="00A64035" w:rsidRDefault="00A64035" w:rsidP="0075074A">
            <w:r>
              <w:t>ZSMCH</w:t>
            </w:r>
          </w:p>
        </w:tc>
        <w:tc>
          <w:tcPr>
            <w:tcW w:w="1559" w:type="dxa"/>
            <w:shd w:val="clear" w:color="auto" w:fill="auto"/>
          </w:tcPr>
          <w:p w:rsidR="00A64035" w:rsidRDefault="00A64035" w:rsidP="0075074A">
            <w:r>
              <w:t>ŘŠ</w:t>
            </w:r>
          </w:p>
        </w:tc>
        <w:tc>
          <w:tcPr>
            <w:tcW w:w="1733" w:type="dxa"/>
            <w:shd w:val="clear" w:color="auto" w:fill="auto"/>
          </w:tcPr>
          <w:p w:rsidR="00A64035" w:rsidRDefault="00A64035" w:rsidP="0075074A">
            <w:r>
              <w:t>Meziroční % vývoj</w:t>
            </w:r>
          </w:p>
        </w:tc>
      </w:tr>
      <w:tr w:rsidR="00A64035" w:rsidTr="0075074A">
        <w:tc>
          <w:tcPr>
            <w:tcW w:w="4503" w:type="dxa"/>
            <w:shd w:val="clear" w:color="auto" w:fill="auto"/>
          </w:tcPr>
          <w:p w:rsidR="00A64035" w:rsidRDefault="00A64035" w:rsidP="0075074A"/>
        </w:tc>
        <w:tc>
          <w:tcPr>
            <w:tcW w:w="1417" w:type="dxa"/>
            <w:shd w:val="clear" w:color="auto" w:fill="auto"/>
          </w:tcPr>
          <w:p w:rsidR="00A64035" w:rsidRDefault="00A64035" w:rsidP="0075074A"/>
        </w:tc>
        <w:tc>
          <w:tcPr>
            <w:tcW w:w="1559" w:type="dxa"/>
            <w:shd w:val="clear" w:color="auto" w:fill="auto"/>
          </w:tcPr>
          <w:p w:rsidR="00A64035" w:rsidRDefault="00A64035" w:rsidP="0075074A"/>
        </w:tc>
        <w:tc>
          <w:tcPr>
            <w:tcW w:w="1733" w:type="dxa"/>
            <w:shd w:val="clear" w:color="auto" w:fill="auto"/>
          </w:tcPr>
          <w:p w:rsidR="00A64035" w:rsidRDefault="00A64035" w:rsidP="0075074A"/>
        </w:tc>
      </w:tr>
      <w:tr w:rsidR="00A64035" w:rsidRPr="00DC686D" w:rsidTr="0075074A">
        <w:tc>
          <w:tcPr>
            <w:tcW w:w="4503" w:type="dxa"/>
            <w:shd w:val="clear" w:color="auto" w:fill="auto"/>
          </w:tcPr>
          <w:p w:rsidR="00A64035" w:rsidRPr="00DC686D" w:rsidRDefault="00A64035" w:rsidP="0075074A">
            <w:pPr>
              <w:rPr>
                <w:sz w:val="22"/>
                <w:szCs w:val="22"/>
              </w:rPr>
            </w:pPr>
            <w:r>
              <w:rPr>
                <w:sz w:val="22"/>
                <w:szCs w:val="22"/>
              </w:rPr>
              <w:t xml:space="preserve">Podporovat snahu ve snižování nákladů </w:t>
            </w:r>
            <w:r>
              <w:rPr>
                <w:sz w:val="22"/>
                <w:szCs w:val="22"/>
              </w:rPr>
              <w:br/>
              <w:t>na energie uplatňováním doporučení energetických auditů.</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Pr="00DC686D"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Pr="00DC686D" w:rsidRDefault="00A64035" w:rsidP="0075074A">
            <w:pPr>
              <w:rPr>
                <w:sz w:val="22"/>
                <w:szCs w:val="22"/>
              </w:rPr>
            </w:pPr>
            <w:r>
              <w:rPr>
                <w:sz w:val="22"/>
                <w:szCs w:val="22"/>
              </w:rPr>
              <w:t>Pokračovat v rekonstrukcích a modernizaci budov škol a také školních hřišť, zejména s využitím dotačních prostředků.</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rPr>
                <w:sz w:val="22"/>
                <w:szCs w:val="22"/>
              </w:rPr>
              <w:t>Úspěšnost realizovaných akcí</w:t>
            </w:r>
          </w:p>
        </w:tc>
      </w:tr>
      <w:tr w:rsidR="00A64035" w:rsidRPr="00DC686D" w:rsidTr="0075074A">
        <w:tc>
          <w:tcPr>
            <w:tcW w:w="4503" w:type="dxa"/>
            <w:shd w:val="clear" w:color="auto" w:fill="auto"/>
          </w:tcPr>
          <w:p w:rsidR="00A64035" w:rsidRPr="00DC686D"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Pr="00DC686D" w:rsidRDefault="00A64035" w:rsidP="0075074A">
            <w:pPr>
              <w:rPr>
                <w:sz w:val="22"/>
                <w:szCs w:val="22"/>
              </w:rPr>
            </w:pPr>
            <w:r>
              <w:rPr>
                <w:sz w:val="22"/>
                <w:szCs w:val="22"/>
              </w:rPr>
              <w:t>Flexibilně reagovat na poptávku přípravných tříd pro děti ze sociálně znevýhodněného prostředí.</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Pr="00DC686D"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Pr="00DC686D" w:rsidRDefault="00A64035" w:rsidP="0075074A">
            <w:pPr>
              <w:rPr>
                <w:sz w:val="22"/>
                <w:szCs w:val="22"/>
              </w:rPr>
            </w:pPr>
            <w:r>
              <w:rPr>
                <w:sz w:val="22"/>
                <w:szCs w:val="22"/>
              </w:rPr>
              <w:t>Pomáhat spoluvytvořit kvalitní podmínky pro začínající učitele (byty, stipendia). Podpořit snahu o zvýšení aprobovanosti výuky cizích jazyků např. formou stipendijních pobídek. Pokusit se zajistit rodilé mluvčí, využívat zahraniční studenty, využívat nové, ověřené a úspěšné metody, aplikovat tzv. šablony.</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Výroční zprávy škol</w:t>
            </w:r>
          </w:p>
        </w:tc>
      </w:tr>
      <w:tr w:rsidR="00A64035" w:rsidRPr="00DC686D" w:rsidTr="0075074A">
        <w:tc>
          <w:tcPr>
            <w:tcW w:w="4503" w:type="dxa"/>
            <w:shd w:val="clear" w:color="auto" w:fill="auto"/>
          </w:tcPr>
          <w:p w:rsidR="00A64035" w:rsidRPr="00DC686D"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Pr="00DC686D" w:rsidRDefault="00A64035" w:rsidP="0075074A">
            <w:pPr>
              <w:rPr>
                <w:sz w:val="22"/>
                <w:szCs w:val="22"/>
              </w:rPr>
            </w:pPr>
            <w:r>
              <w:rPr>
                <w:sz w:val="22"/>
                <w:szCs w:val="22"/>
              </w:rPr>
              <w:t xml:space="preserve">V případě zájmu podpořit prohlubování </w:t>
            </w:r>
            <w:r>
              <w:rPr>
                <w:sz w:val="22"/>
                <w:szCs w:val="22"/>
              </w:rPr>
              <w:br/>
              <w:t>a rozšiřování specializace jednotlivých základních škol.</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rPr>
                <w:sz w:val="22"/>
                <w:szCs w:val="22"/>
              </w:rPr>
              <w:t>Výroční zprávy škol</w:t>
            </w:r>
          </w:p>
        </w:tc>
      </w:tr>
      <w:tr w:rsidR="00A64035" w:rsidRPr="00DC686D" w:rsidTr="0075074A">
        <w:tc>
          <w:tcPr>
            <w:tcW w:w="4503" w:type="dxa"/>
            <w:shd w:val="clear" w:color="auto" w:fill="auto"/>
          </w:tcPr>
          <w:p w:rsidR="00A64035" w:rsidRPr="00DC686D"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Pr="00DC686D" w:rsidRDefault="00A64035" w:rsidP="0075074A">
            <w:pPr>
              <w:rPr>
                <w:sz w:val="22"/>
                <w:szCs w:val="22"/>
              </w:rPr>
            </w:pPr>
            <w:r>
              <w:rPr>
                <w:sz w:val="22"/>
                <w:szCs w:val="22"/>
              </w:rPr>
              <w:t>Podpořit rozvoj dopravní výchovy – zbudování dopravního hřiště.</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Vlastní realizace</w:t>
            </w:r>
          </w:p>
        </w:tc>
      </w:tr>
      <w:tr w:rsidR="00A64035" w:rsidRPr="00DC686D" w:rsidTr="0075074A">
        <w:tc>
          <w:tcPr>
            <w:tcW w:w="4503" w:type="dxa"/>
            <w:shd w:val="clear" w:color="auto" w:fill="auto"/>
          </w:tcPr>
          <w:p w:rsidR="00A64035" w:rsidRPr="00DC686D"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Pr="00DC686D" w:rsidRDefault="00A64035" w:rsidP="0075074A">
            <w:pPr>
              <w:rPr>
                <w:sz w:val="22"/>
                <w:szCs w:val="22"/>
              </w:rPr>
            </w:pPr>
            <w:r>
              <w:rPr>
                <w:sz w:val="22"/>
                <w:szCs w:val="22"/>
              </w:rPr>
              <w:t>Podpořit rozvoj zájmových mimoškolních činností organizovaných základními školami, podporovat činnost školních družin a klubů.</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Zvýšit výukovou prestiž škol a popularizovat všechny úspěchy chomutovského školství, jak pedagogů, tak i žáků a studentů. Jít cestou dobré praxe (Hledá se třída, Divadýlko…). Zavést ocenění nejlepších </w:t>
            </w:r>
            <w:r>
              <w:rPr>
                <w:sz w:val="22"/>
                <w:szCs w:val="22"/>
              </w:rPr>
              <w:br/>
              <w:t>a nejúspěšnějších žáků.</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Výroční zprávy škol</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lastRenderedPageBreak/>
              <w:t xml:space="preserve">Obnovit činnost metodických orgánů </w:t>
            </w:r>
            <w:r>
              <w:rPr>
                <w:sz w:val="22"/>
                <w:szCs w:val="22"/>
              </w:rPr>
              <w:br/>
              <w:t>na okresní úrovni a zajistit jejich propojení mezi základními a středními školami.</w:t>
            </w:r>
          </w:p>
        </w:tc>
        <w:tc>
          <w:tcPr>
            <w:tcW w:w="1417" w:type="dxa"/>
            <w:shd w:val="clear" w:color="auto" w:fill="auto"/>
          </w:tcPr>
          <w:p w:rsidR="00A64035" w:rsidRPr="00DC686D" w:rsidRDefault="00A64035" w:rsidP="0075074A">
            <w:pPr>
              <w:rPr>
                <w:sz w:val="22"/>
                <w:szCs w:val="22"/>
              </w:rPr>
            </w:pPr>
            <w:r>
              <w:rPr>
                <w:sz w:val="22"/>
                <w:szCs w:val="22"/>
              </w:rPr>
              <w:t>RSMCH/ŘŠ</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Počet vzniklých předmětových komisí</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Podpořit osvědčené formy prevence sociálně patologických jevů. Zlepšit spolupráci škol a PPP při diagnostice </w:t>
            </w:r>
            <w:r>
              <w:rPr>
                <w:sz w:val="22"/>
                <w:szCs w:val="22"/>
              </w:rPr>
              <w:br/>
              <w:t>a určování náprav a opatření. Spolupracovat s MP CV. Podporovat osvědčenou a nejúčinnější formu prevence, tedy pravidelné zájmové aktivity a sportovní činnosti.</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Hodnocení MPP</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Podpořit zachování výuky plavání v původním rozsahu.</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Podpořit možnost bruslení pro školní kolektivy.</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rPr>
                <w:sz w:val="22"/>
                <w:szCs w:val="22"/>
              </w:rPr>
              <w:t>Počet realizovaných hodin a počet žáků</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Podpořit výchovu proti rasismu, xenofobii, intoleranci, podpořit informovanost </w:t>
            </w:r>
            <w:r>
              <w:rPr>
                <w:sz w:val="22"/>
                <w:szCs w:val="22"/>
              </w:rPr>
              <w:br/>
              <w:t>o finanční gramotnosti.</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Počet uskutečněných akcí</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V případě potřeby pomáhat při propagaci akcí MŠ, ZŠ a SŠ, popřípadě pomáhat </w:t>
            </w:r>
            <w:r>
              <w:rPr>
                <w:sz w:val="22"/>
                <w:szCs w:val="22"/>
              </w:rPr>
              <w:br/>
              <w:t>při propagaci dalších akcí se vzdělávací a výchovnou tématikou.</w:t>
            </w:r>
          </w:p>
        </w:tc>
        <w:tc>
          <w:tcPr>
            <w:tcW w:w="1417" w:type="dxa"/>
            <w:shd w:val="clear" w:color="auto" w:fill="auto"/>
          </w:tcPr>
          <w:p w:rsidR="00A64035" w:rsidRPr="00DC686D" w:rsidRDefault="00A64035" w:rsidP="0075074A">
            <w:pPr>
              <w:rPr>
                <w:sz w:val="22"/>
                <w:szCs w:val="22"/>
              </w:rPr>
            </w:pPr>
            <w:r>
              <w:rPr>
                <w:sz w:val="22"/>
                <w:szCs w:val="22"/>
              </w:rPr>
              <w:t>ZSMCH/ŘS</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Počet uskutečněných akcí</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Podpořit další vzdělávání pedagogických pracovníků.</w:t>
            </w:r>
          </w:p>
        </w:tc>
        <w:tc>
          <w:tcPr>
            <w:tcW w:w="1417" w:type="dxa"/>
            <w:shd w:val="clear" w:color="auto" w:fill="auto"/>
          </w:tcPr>
          <w:p w:rsidR="00A64035" w:rsidRPr="00DC686D" w:rsidRDefault="00A64035" w:rsidP="0075074A">
            <w:pPr>
              <w:rPr>
                <w:sz w:val="22"/>
                <w:szCs w:val="22"/>
              </w:rPr>
            </w:pPr>
            <w:r>
              <w:rPr>
                <w:sz w:val="22"/>
                <w:szCs w:val="22"/>
              </w:rPr>
              <w:t>ŘŠ</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Výroční zprávy škol</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Podporovat vznik metropolitní sítě, zapojení škol a školských zařízení do této sítě </w:t>
            </w:r>
            <w:r>
              <w:rPr>
                <w:sz w:val="22"/>
                <w:szCs w:val="22"/>
              </w:rPr>
              <w:br/>
              <w:t xml:space="preserve">a tímto snížit náklady v této oblasti </w:t>
            </w:r>
            <w:r>
              <w:rPr>
                <w:sz w:val="22"/>
                <w:szCs w:val="22"/>
              </w:rPr>
              <w:br/>
              <w:t>a zkvalitnění služeb.</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Úspora nákladů</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V případě zájmu podpořit připravenost základních škol na integraci žáků </w:t>
            </w:r>
            <w:r>
              <w:rPr>
                <w:sz w:val="22"/>
                <w:szCs w:val="22"/>
              </w:rPr>
              <w:br/>
              <w:t xml:space="preserve">se speciálními vzdělávacími potřebami, </w:t>
            </w:r>
            <w:r>
              <w:rPr>
                <w:sz w:val="22"/>
                <w:szCs w:val="22"/>
              </w:rPr>
              <w:br/>
              <w:t xml:space="preserve">a to po stránce profesní, personální </w:t>
            </w:r>
            <w:r>
              <w:rPr>
                <w:sz w:val="22"/>
                <w:szCs w:val="22"/>
              </w:rPr>
              <w:br/>
              <w:t>i technické.</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Podporovat předškolní vzdělávání </w:t>
            </w:r>
            <w:r>
              <w:rPr>
                <w:sz w:val="22"/>
                <w:szCs w:val="22"/>
              </w:rPr>
              <w:br/>
              <w:t>a přípravu pro úspěšné zahájení školní docházky, především u dětí z romské komunity a dětí ze sociálně znevýhodněného prostředí – tzv. přípravné třídy, práce terénních pracovníků…</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Zachovat a v případě zájmu napomáhat vzniku speciálních a rehabilitačních tříd </w:t>
            </w:r>
            <w:r>
              <w:rPr>
                <w:sz w:val="22"/>
                <w:szCs w:val="22"/>
              </w:rPr>
              <w:br/>
            </w:r>
            <w:r>
              <w:rPr>
                <w:sz w:val="22"/>
                <w:szCs w:val="22"/>
              </w:rPr>
              <w:lastRenderedPageBreak/>
              <w:t xml:space="preserve">na školách pro těžce zdravotně postižené žáky. </w:t>
            </w:r>
          </w:p>
        </w:tc>
        <w:tc>
          <w:tcPr>
            <w:tcW w:w="1417" w:type="dxa"/>
            <w:shd w:val="clear" w:color="auto" w:fill="auto"/>
          </w:tcPr>
          <w:p w:rsidR="00A64035" w:rsidRPr="00DC686D" w:rsidRDefault="00A64035" w:rsidP="0075074A">
            <w:pPr>
              <w:rPr>
                <w:sz w:val="22"/>
                <w:szCs w:val="22"/>
              </w:rPr>
            </w:pPr>
            <w:r>
              <w:rPr>
                <w:sz w:val="22"/>
                <w:szCs w:val="22"/>
              </w:rPr>
              <w:lastRenderedPageBreak/>
              <w:t>RSMCH/ŘŠ</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V případě zájmu napomáhat vzniku speciální třídy pro žáky se specifickými poruchami učení a chování na základních školách.</w:t>
            </w:r>
          </w:p>
        </w:tc>
        <w:tc>
          <w:tcPr>
            <w:tcW w:w="1417" w:type="dxa"/>
            <w:shd w:val="clear" w:color="auto" w:fill="auto"/>
          </w:tcPr>
          <w:p w:rsidR="00A64035" w:rsidRPr="00DC686D" w:rsidRDefault="00A64035" w:rsidP="0075074A">
            <w:pPr>
              <w:rPr>
                <w:sz w:val="22"/>
                <w:szCs w:val="22"/>
              </w:rPr>
            </w:pPr>
            <w:r>
              <w:rPr>
                <w:sz w:val="22"/>
                <w:szCs w:val="22"/>
              </w:rPr>
              <w:t>RSMCH</w:t>
            </w:r>
          </w:p>
        </w:tc>
        <w:tc>
          <w:tcPr>
            <w:tcW w:w="1559" w:type="dxa"/>
            <w:shd w:val="clear" w:color="auto" w:fill="auto"/>
          </w:tcPr>
          <w:p w:rsidR="00A64035" w:rsidRPr="00DC686D" w:rsidRDefault="00A64035" w:rsidP="0075074A">
            <w:pPr>
              <w:rPr>
                <w:sz w:val="22"/>
                <w:szCs w:val="22"/>
              </w:rPr>
            </w:pPr>
            <w:r>
              <w:rPr>
                <w:sz w:val="22"/>
                <w:szCs w:val="22"/>
              </w:rPr>
              <w:t>ŘŠ/OŠ MMCH</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Podpořit rozvojovými programy integraci </w:t>
            </w:r>
            <w:r>
              <w:rPr>
                <w:sz w:val="22"/>
                <w:szCs w:val="22"/>
              </w:rPr>
              <w:br/>
              <w:t xml:space="preserve">a inkluzi na školách a přípravu učitelů </w:t>
            </w:r>
            <w:r>
              <w:rPr>
                <w:sz w:val="22"/>
                <w:szCs w:val="22"/>
              </w:rPr>
              <w:br/>
              <w:t>na integraci a inkluzi žáků se speciálními vzdělávacími potřebami.</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Podpořit činnost neziskových organizací, občanských sdružení ve městě, které </w:t>
            </w:r>
            <w:r>
              <w:rPr>
                <w:sz w:val="22"/>
                <w:szCs w:val="22"/>
              </w:rPr>
              <w:br/>
              <w:t xml:space="preserve">se podílejí na výchově a vzdělávání dětí </w:t>
            </w:r>
            <w:r>
              <w:rPr>
                <w:sz w:val="22"/>
                <w:szCs w:val="22"/>
              </w:rPr>
              <w:br/>
              <w:t>a mládeže.</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V rámci vzdělávacích programů zohlednit kulturní identitu romské komunity: spolupracovat se zástupci místní romské komunity a dle aktuální potřeby zřizovat </w:t>
            </w:r>
            <w:r>
              <w:rPr>
                <w:sz w:val="22"/>
                <w:szCs w:val="22"/>
              </w:rPr>
              <w:br/>
              <w:t>na školách pracovní místa asistentů pedagogů pro děti a žáky se sociálním znevýhodněním.</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t>Meziroční % vývoj</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 xml:space="preserve">Pokusit se aktivizovat rodiče dětí a žáků </w:t>
            </w:r>
            <w:r>
              <w:rPr>
                <w:sz w:val="22"/>
                <w:szCs w:val="22"/>
              </w:rPr>
              <w:br/>
              <w:t>se speciálními vzdělávacími potřebami, podpořit součinnost školy a rodiny.</w:t>
            </w:r>
          </w:p>
        </w:tc>
        <w:tc>
          <w:tcPr>
            <w:tcW w:w="1417" w:type="dxa"/>
            <w:shd w:val="clear" w:color="auto" w:fill="auto"/>
          </w:tcPr>
          <w:p w:rsidR="00A64035" w:rsidRPr="00DC686D" w:rsidRDefault="00A64035" w:rsidP="0075074A">
            <w:pPr>
              <w:rPr>
                <w:sz w:val="22"/>
                <w:szCs w:val="22"/>
              </w:rPr>
            </w:pPr>
            <w:r>
              <w:rPr>
                <w:sz w:val="22"/>
                <w:szCs w:val="22"/>
              </w:rPr>
              <w:t>ZSMCH/ŘŠ</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Výroční zprávy škol</w:t>
            </w:r>
          </w:p>
        </w:tc>
      </w:tr>
      <w:tr w:rsidR="00A64035" w:rsidRPr="00DC686D" w:rsidTr="0075074A">
        <w:tc>
          <w:tcPr>
            <w:tcW w:w="4503" w:type="dxa"/>
            <w:shd w:val="clear" w:color="auto" w:fill="auto"/>
          </w:tcPr>
          <w:p w:rsidR="00A64035" w:rsidRDefault="00A64035" w:rsidP="0075074A">
            <w:pPr>
              <w:rPr>
                <w:sz w:val="22"/>
                <w:szCs w:val="22"/>
              </w:rPr>
            </w:pPr>
          </w:p>
        </w:tc>
        <w:tc>
          <w:tcPr>
            <w:tcW w:w="1417" w:type="dxa"/>
            <w:shd w:val="clear" w:color="auto" w:fill="auto"/>
          </w:tcPr>
          <w:p w:rsidR="00A64035" w:rsidRPr="00DC686D" w:rsidRDefault="00A64035" w:rsidP="0075074A">
            <w:pPr>
              <w:rPr>
                <w:sz w:val="22"/>
                <w:szCs w:val="22"/>
              </w:rPr>
            </w:pPr>
          </w:p>
        </w:tc>
        <w:tc>
          <w:tcPr>
            <w:tcW w:w="1559" w:type="dxa"/>
            <w:shd w:val="clear" w:color="auto" w:fill="auto"/>
          </w:tcPr>
          <w:p w:rsidR="00A64035" w:rsidRPr="00DC686D" w:rsidRDefault="00A64035" w:rsidP="0075074A">
            <w:pPr>
              <w:rPr>
                <w:sz w:val="22"/>
                <w:szCs w:val="22"/>
              </w:rPr>
            </w:pPr>
          </w:p>
        </w:tc>
        <w:tc>
          <w:tcPr>
            <w:tcW w:w="1733" w:type="dxa"/>
            <w:shd w:val="clear" w:color="auto" w:fill="auto"/>
          </w:tcPr>
          <w:p w:rsidR="00A64035" w:rsidRPr="00DC686D" w:rsidRDefault="00A64035" w:rsidP="0075074A">
            <w:pPr>
              <w:rPr>
                <w:sz w:val="22"/>
                <w:szCs w:val="22"/>
              </w:rPr>
            </w:pPr>
          </w:p>
        </w:tc>
      </w:tr>
      <w:tr w:rsidR="00A64035" w:rsidRPr="00DC686D" w:rsidTr="0075074A">
        <w:tc>
          <w:tcPr>
            <w:tcW w:w="4503" w:type="dxa"/>
            <w:shd w:val="clear" w:color="auto" w:fill="auto"/>
          </w:tcPr>
          <w:p w:rsidR="00A64035" w:rsidRDefault="00A64035" w:rsidP="0075074A">
            <w:pPr>
              <w:rPr>
                <w:sz w:val="22"/>
                <w:szCs w:val="22"/>
              </w:rPr>
            </w:pPr>
            <w:r>
              <w:rPr>
                <w:sz w:val="22"/>
                <w:szCs w:val="22"/>
              </w:rPr>
              <w:t>Koordinovat spolupráci škol a organizací statutárního města Chomutova a odborů magistrátu města Chomutova s dalšími partnery (Člověk v tísni …)</w:t>
            </w:r>
          </w:p>
        </w:tc>
        <w:tc>
          <w:tcPr>
            <w:tcW w:w="1417" w:type="dxa"/>
            <w:shd w:val="clear" w:color="auto" w:fill="auto"/>
          </w:tcPr>
          <w:p w:rsidR="00A64035" w:rsidRPr="00DC686D" w:rsidRDefault="00A64035" w:rsidP="0075074A">
            <w:pPr>
              <w:rPr>
                <w:sz w:val="22"/>
                <w:szCs w:val="22"/>
              </w:rPr>
            </w:pPr>
            <w:r>
              <w:rPr>
                <w:sz w:val="22"/>
                <w:szCs w:val="22"/>
              </w:rPr>
              <w:t>ZSMCH</w:t>
            </w:r>
          </w:p>
        </w:tc>
        <w:tc>
          <w:tcPr>
            <w:tcW w:w="1559" w:type="dxa"/>
            <w:shd w:val="clear" w:color="auto" w:fill="auto"/>
          </w:tcPr>
          <w:p w:rsidR="00A64035" w:rsidRPr="00DC686D" w:rsidRDefault="00A64035" w:rsidP="0075074A">
            <w:pPr>
              <w:rPr>
                <w:sz w:val="22"/>
                <w:szCs w:val="22"/>
              </w:rPr>
            </w:pPr>
            <w:r>
              <w:rPr>
                <w:sz w:val="22"/>
                <w:szCs w:val="22"/>
              </w:rPr>
              <w:t>ŘŠ/VVVZ</w:t>
            </w:r>
          </w:p>
        </w:tc>
        <w:tc>
          <w:tcPr>
            <w:tcW w:w="1733" w:type="dxa"/>
            <w:shd w:val="clear" w:color="auto" w:fill="auto"/>
          </w:tcPr>
          <w:p w:rsidR="00A64035" w:rsidRPr="00DC686D" w:rsidRDefault="00A64035" w:rsidP="0075074A">
            <w:pPr>
              <w:rPr>
                <w:sz w:val="22"/>
                <w:szCs w:val="22"/>
              </w:rPr>
            </w:pPr>
            <w:r>
              <w:rPr>
                <w:sz w:val="22"/>
                <w:szCs w:val="22"/>
              </w:rPr>
              <w:t>Počet uskutečněných akcí</w:t>
            </w:r>
          </w:p>
        </w:tc>
      </w:tr>
    </w:tbl>
    <w:p w:rsidR="00A64035" w:rsidRPr="00DC686D" w:rsidRDefault="00A64035" w:rsidP="00A64035">
      <w:pPr>
        <w:rPr>
          <w:sz w:val="22"/>
          <w:szCs w:val="22"/>
        </w:rPr>
        <w:sectPr w:rsidR="00A64035" w:rsidRPr="00DC686D" w:rsidSect="0075074A">
          <w:type w:val="continuous"/>
          <w:pgSz w:w="11906" w:h="16838"/>
          <w:pgMar w:top="1417" w:right="1417" w:bottom="1417" w:left="1417" w:header="708" w:footer="708" w:gutter="0"/>
          <w:cols w:space="708"/>
          <w:docGrid w:linePitch="360"/>
        </w:sectPr>
      </w:pPr>
    </w:p>
    <w:p w:rsidR="00A64035" w:rsidRPr="00DC686D" w:rsidRDefault="00A64035" w:rsidP="00A64035">
      <w:pPr>
        <w:rPr>
          <w:sz w:val="22"/>
          <w:szCs w:val="22"/>
        </w:rPr>
      </w:pPr>
    </w:p>
    <w:p w:rsidR="00A64035" w:rsidRPr="00DC686D" w:rsidRDefault="00A64035" w:rsidP="00A64035">
      <w:pPr>
        <w:rPr>
          <w:sz w:val="22"/>
          <w:szCs w:val="22"/>
        </w:rPr>
        <w:sectPr w:rsidR="00A64035" w:rsidRPr="00DC686D" w:rsidSect="0075074A">
          <w:headerReference w:type="default" r:id="rId12"/>
          <w:type w:val="continuous"/>
          <w:pgSz w:w="11906" w:h="16838"/>
          <w:pgMar w:top="1417" w:right="1417" w:bottom="1417" w:left="1417" w:header="708" w:footer="708" w:gutter="0"/>
          <w:cols w:space="708"/>
          <w:docGrid w:linePitch="360"/>
        </w:sectPr>
      </w:pPr>
    </w:p>
    <w:p w:rsidR="00A64035" w:rsidRPr="00DC686D" w:rsidRDefault="00A64035" w:rsidP="00A64035">
      <w:pPr>
        <w:rPr>
          <w:sz w:val="22"/>
          <w:szCs w:val="22"/>
        </w:rPr>
        <w:sectPr w:rsidR="00A64035" w:rsidRPr="00DC686D" w:rsidSect="0075074A">
          <w:headerReference w:type="default" r:id="rId13"/>
          <w:type w:val="continuous"/>
          <w:pgSz w:w="11906" w:h="16838"/>
          <w:pgMar w:top="1417" w:right="1417" w:bottom="1417" w:left="1417" w:header="708" w:footer="708" w:gutter="0"/>
          <w:cols w:space="708"/>
          <w:docGrid w:linePitch="360"/>
        </w:sectPr>
      </w:pPr>
    </w:p>
    <w:p w:rsidR="00A64035" w:rsidRPr="0002797D" w:rsidRDefault="00A64035" w:rsidP="00557F1F">
      <w:pPr>
        <w:pStyle w:val="Nadpis2"/>
        <w:numPr>
          <w:ilvl w:val="1"/>
          <w:numId w:val="3"/>
        </w:numPr>
        <w:rPr>
          <w:szCs w:val="22"/>
        </w:rPr>
      </w:pPr>
      <w:r w:rsidRPr="0002797D">
        <w:rPr>
          <w:szCs w:val="22"/>
        </w:rPr>
        <w:lastRenderedPageBreak/>
        <w:t>STŘEDNÍ ŠKOLY, VYŠŠÍ ODBORNÉ ŠKOLY, VYSOKÉ ŠKOLY</w:t>
      </w:r>
    </w:p>
    <w:p w:rsidR="00A64035" w:rsidRPr="00D75958" w:rsidRDefault="00A64035" w:rsidP="0075074A">
      <w:pPr>
        <w:pStyle w:val="Nadpis3"/>
      </w:pPr>
      <w:r w:rsidRPr="00D75958">
        <w:t xml:space="preserve">Vzdělávací organizace na území města </w:t>
      </w:r>
    </w:p>
    <w:p w:rsidR="00A64035" w:rsidRPr="00D75958" w:rsidRDefault="00A64035" w:rsidP="00A64035">
      <w:pPr>
        <w:rPr>
          <w:lang w:eastAsia="x-none"/>
        </w:rPr>
      </w:pPr>
    </w:p>
    <w:p w:rsidR="00A64035" w:rsidRDefault="00A64035" w:rsidP="00557F1F">
      <w:pPr>
        <w:pStyle w:val="Odstavecseseznamem"/>
        <w:numPr>
          <w:ilvl w:val="0"/>
          <w:numId w:val="4"/>
        </w:numPr>
        <w:spacing w:after="240" w:line="276" w:lineRule="auto"/>
        <w:contextualSpacing/>
        <w:rPr>
          <w:rFonts w:ascii="Arial" w:hAnsi="Arial" w:cs="Arial"/>
          <w:bCs/>
          <w:sz w:val="22"/>
          <w:szCs w:val="22"/>
        </w:rPr>
      </w:pPr>
      <w:r>
        <w:rPr>
          <w:rFonts w:ascii="Arial" w:hAnsi="Arial" w:cs="Arial"/>
          <w:bCs/>
          <w:sz w:val="22"/>
          <w:szCs w:val="22"/>
        </w:rPr>
        <w:t>Stav k</w:t>
      </w:r>
      <w:r w:rsidRPr="001D079C">
        <w:rPr>
          <w:rFonts w:ascii="Arial" w:hAnsi="Arial" w:cs="Arial"/>
          <w:bCs/>
          <w:sz w:val="22"/>
          <w:szCs w:val="22"/>
        </w:rPr>
        <w:t> </w:t>
      </w:r>
      <w:r>
        <w:rPr>
          <w:rFonts w:ascii="Arial" w:hAnsi="Arial" w:cs="Arial"/>
          <w:bCs/>
          <w:sz w:val="22"/>
          <w:szCs w:val="22"/>
        </w:rPr>
        <w:t>31</w:t>
      </w:r>
      <w:r w:rsidRPr="001D079C">
        <w:rPr>
          <w:rFonts w:ascii="Arial" w:hAnsi="Arial" w:cs="Arial"/>
          <w:bCs/>
          <w:sz w:val="22"/>
          <w:szCs w:val="22"/>
        </w:rPr>
        <w:t>.</w:t>
      </w:r>
      <w:r>
        <w:rPr>
          <w:rFonts w:ascii="Arial" w:hAnsi="Arial" w:cs="Arial"/>
          <w:bCs/>
          <w:sz w:val="22"/>
          <w:szCs w:val="22"/>
        </w:rPr>
        <w:t xml:space="preserve"> 8</w:t>
      </w:r>
      <w:r w:rsidRPr="001D079C">
        <w:rPr>
          <w:rFonts w:ascii="Arial" w:hAnsi="Arial" w:cs="Arial"/>
          <w:bCs/>
          <w:sz w:val="22"/>
          <w:szCs w:val="22"/>
        </w:rPr>
        <w:t>.</w:t>
      </w:r>
      <w:r>
        <w:rPr>
          <w:rFonts w:ascii="Arial" w:hAnsi="Arial" w:cs="Arial"/>
          <w:bCs/>
          <w:sz w:val="22"/>
          <w:szCs w:val="22"/>
        </w:rPr>
        <w:t xml:space="preserve"> </w:t>
      </w:r>
      <w:r w:rsidRPr="001D079C">
        <w:rPr>
          <w:rFonts w:ascii="Arial" w:hAnsi="Arial" w:cs="Arial"/>
          <w:bCs/>
          <w:sz w:val="22"/>
          <w:szCs w:val="22"/>
        </w:rPr>
        <w:t xml:space="preserve">2012: </w:t>
      </w:r>
    </w:p>
    <w:p w:rsidR="00A64035" w:rsidRPr="001D079C" w:rsidRDefault="00A64035" w:rsidP="00A64035">
      <w:pPr>
        <w:pStyle w:val="Odstavecseseznamem"/>
        <w:spacing w:after="240" w:line="276" w:lineRule="auto"/>
        <w:ind w:left="720"/>
        <w:contextualSpacing/>
        <w:rPr>
          <w:rFonts w:ascii="Arial" w:hAnsi="Arial" w:cs="Arial"/>
          <w:bCs/>
          <w:sz w:val="22"/>
          <w:szCs w:val="22"/>
        </w:rPr>
      </w:pPr>
      <w:r w:rsidRPr="001D079C">
        <w:rPr>
          <w:rFonts w:ascii="Arial" w:hAnsi="Arial" w:cs="Arial"/>
          <w:bCs/>
          <w:sz w:val="22"/>
          <w:szCs w:val="22"/>
        </w:rPr>
        <w:t>7 veřejných středních škol (zřizovatel Ústecký kraj), 1 soukromá střední škola</w:t>
      </w:r>
    </w:p>
    <w:p w:rsidR="00A64035" w:rsidRDefault="00A64035" w:rsidP="00557F1F">
      <w:pPr>
        <w:pStyle w:val="Odstavecseseznamem"/>
        <w:numPr>
          <w:ilvl w:val="0"/>
          <w:numId w:val="4"/>
        </w:numPr>
        <w:spacing w:after="240" w:line="276" w:lineRule="auto"/>
        <w:contextualSpacing/>
        <w:rPr>
          <w:rFonts w:ascii="Arial" w:hAnsi="Arial" w:cs="Arial"/>
          <w:bCs/>
          <w:sz w:val="22"/>
          <w:szCs w:val="22"/>
        </w:rPr>
      </w:pPr>
      <w:r>
        <w:rPr>
          <w:rFonts w:ascii="Arial" w:hAnsi="Arial" w:cs="Arial"/>
          <w:bCs/>
          <w:sz w:val="22"/>
          <w:szCs w:val="22"/>
        </w:rPr>
        <w:t xml:space="preserve">Stav po </w:t>
      </w:r>
      <w:r w:rsidRPr="001D079C">
        <w:rPr>
          <w:rFonts w:ascii="Arial" w:hAnsi="Arial" w:cs="Arial"/>
          <w:bCs/>
          <w:sz w:val="22"/>
          <w:szCs w:val="22"/>
        </w:rPr>
        <w:t>1.</w:t>
      </w:r>
      <w:r>
        <w:rPr>
          <w:rFonts w:ascii="Arial" w:hAnsi="Arial" w:cs="Arial"/>
          <w:bCs/>
          <w:sz w:val="22"/>
          <w:szCs w:val="22"/>
        </w:rPr>
        <w:t xml:space="preserve"> </w:t>
      </w:r>
      <w:r w:rsidRPr="001D079C">
        <w:rPr>
          <w:rFonts w:ascii="Arial" w:hAnsi="Arial" w:cs="Arial"/>
          <w:bCs/>
          <w:sz w:val="22"/>
          <w:szCs w:val="22"/>
        </w:rPr>
        <w:t>9.</w:t>
      </w:r>
      <w:r>
        <w:rPr>
          <w:rFonts w:ascii="Arial" w:hAnsi="Arial" w:cs="Arial"/>
          <w:bCs/>
          <w:sz w:val="22"/>
          <w:szCs w:val="22"/>
        </w:rPr>
        <w:t xml:space="preserve"> </w:t>
      </w:r>
      <w:r w:rsidRPr="001D079C">
        <w:rPr>
          <w:rFonts w:ascii="Arial" w:hAnsi="Arial" w:cs="Arial"/>
          <w:bCs/>
          <w:sz w:val="22"/>
          <w:szCs w:val="22"/>
        </w:rPr>
        <w:t xml:space="preserve">2012: </w:t>
      </w:r>
    </w:p>
    <w:p w:rsidR="00A64035" w:rsidRDefault="00A64035" w:rsidP="00A64035">
      <w:pPr>
        <w:pStyle w:val="Odstavecseseznamem"/>
        <w:spacing w:after="240" w:line="276" w:lineRule="auto"/>
        <w:ind w:left="720"/>
        <w:contextualSpacing/>
        <w:rPr>
          <w:rFonts w:ascii="Arial" w:hAnsi="Arial" w:cs="Arial"/>
          <w:bCs/>
          <w:dstrike/>
          <w:sz w:val="22"/>
          <w:szCs w:val="22"/>
        </w:rPr>
      </w:pPr>
      <w:r w:rsidRPr="001D079C">
        <w:rPr>
          <w:rFonts w:ascii="Arial" w:hAnsi="Arial" w:cs="Arial"/>
          <w:bCs/>
          <w:sz w:val="22"/>
          <w:szCs w:val="22"/>
        </w:rPr>
        <w:t xml:space="preserve">4 veřejné střední školy (zřizovatel Ústecký kraj), 1 soukromá střední škola </w:t>
      </w:r>
      <w:r w:rsidRPr="001D079C">
        <w:rPr>
          <w:rFonts w:ascii="Arial" w:hAnsi="Arial" w:cs="Arial"/>
          <w:bCs/>
          <w:dstrike/>
          <w:sz w:val="22"/>
          <w:szCs w:val="22"/>
        </w:rPr>
        <w:t xml:space="preserve"> </w:t>
      </w:r>
    </w:p>
    <w:p w:rsidR="00A64035" w:rsidRPr="002A67E9" w:rsidRDefault="00A64035" w:rsidP="00A64035">
      <w:pPr>
        <w:pStyle w:val="Odstavecseseznamem"/>
        <w:spacing w:after="240" w:line="276" w:lineRule="auto"/>
        <w:ind w:left="720" w:firstLine="696"/>
        <w:contextualSpacing/>
        <w:rPr>
          <w:rFonts w:ascii="Arial" w:hAnsi="Arial" w:cs="Arial"/>
          <w:bCs/>
          <w:i/>
          <w:sz w:val="22"/>
          <w:szCs w:val="22"/>
        </w:rPr>
      </w:pPr>
      <w:r>
        <w:rPr>
          <w:rFonts w:ascii="Arial" w:hAnsi="Arial" w:cs="Arial"/>
          <w:bCs/>
          <w:sz w:val="22"/>
          <w:szCs w:val="22"/>
        </w:rPr>
        <w:t>(</w:t>
      </w:r>
      <w:r>
        <w:rPr>
          <w:rFonts w:ascii="Arial" w:hAnsi="Arial" w:cs="Arial"/>
          <w:bCs/>
          <w:i/>
          <w:sz w:val="22"/>
          <w:szCs w:val="22"/>
        </w:rPr>
        <w:t xml:space="preserve">Odůvodnění: Program páteřních škol Ústeckého kraje) </w:t>
      </w:r>
    </w:p>
    <w:p w:rsidR="00A64035" w:rsidRPr="001D079C" w:rsidRDefault="00A64035" w:rsidP="00A64035">
      <w:pPr>
        <w:pStyle w:val="Odstavecseseznamem"/>
        <w:ind w:left="720"/>
        <w:contextualSpacing/>
        <w:rPr>
          <w:rFonts w:ascii="Arial" w:hAnsi="Arial" w:cs="Arial"/>
          <w:bCs/>
          <w:sz w:val="22"/>
          <w:szCs w:val="22"/>
        </w:rPr>
      </w:pPr>
      <w:r w:rsidRPr="001D079C">
        <w:rPr>
          <w:rFonts w:ascii="Arial" w:hAnsi="Arial" w:cs="Arial"/>
          <w:sz w:val="22"/>
          <w:szCs w:val="22"/>
        </w:rPr>
        <w:t xml:space="preserve">1 vyšší </w:t>
      </w:r>
      <w:r w:rsidRPr="001D079C">
        <w:rPr>
          <w:rFonts w:ascii="Arial" w:hAnsi="Arial" w:cs="Arial"/>
          <w:bCs/>
          <w:sz w:val="22"/>
          <w:szCs w:val="22"/>
        </w:rPr>
        <w:t>odborná škola (součást střední školy)</w:t>
      </w:r>
    </w:p>
    <w:p w:rsidR="00A64035" w:rsidRPr="001D079C" w:rsidRDefault="00A64035" w:rsidP="00A64035">
      <w:pPr>
        <w:pStyle w:val="Odstavecseseznamem"/>
        <w:ind w:left="720"/>
        <w:contextualSpacing/>
        <w:rPr>
          <w:rFonts w:ascii="Arial" w:hAnsi="Arial" w:cs="Arial"/>
          <w:bCs/>
          <w:sz w:val="22"/>
          <w:szCs w:val="22"/>
        </w:rPr>
      </w:pPr>
      <w:r w:rsidRPr="001D079C">
        <w:rPr>
          <w:rFonts w:ascii="Arial" w:hAnsi="Arial" w:cs="Arial"/>
          <w:bCs/>
          <w:sz w:val="22"/>
          <w:szCs w:val="22"/>
        </w:rPr>
        <w:t>2 instituce nabízející vysokoškolské vzdělávání</w:t>
      </w:r>
    </w:p>
    <w:p w:rsidR="00A64035" w:rsidRPr="001D079C" w:rsidRDefault="00A64035" w:rsidP="00A64035">
      <w:pPr>
        <w:ind w:left="360"/>
        <w:rPr>
          <w:rFonts w:cs="Arial"/>
          <w:bCs/>
          <w:sz w:val="22"/>
          <w:szCs w:val="22"/>
        </w:rPr>
      </w:pPr>
    </w:p>
    <w:p w:rsidR="00A64035" w:rsidRPr="001D079C" w:rsidRDefault="00A64035" w:rsidP="00A64035">
      <w:pPr>
        <w:rPr>
          <w:bCs/>
          <w:i/>
          <w:sz w:val="22"/>
          <w:szCs w:val="22"/>
        </w:rPr>
      </w:pPr>
      <w:r w:rsidRPr="001D079C">
        <w:rPr>
          <w:bCs/>
          <w:i/>
          <w:sz w:val="22"/>
          <w:szCs w:val="22"/>
        </w:rPr>
        <w:t>Příloha č. 8. Přehled škol, kontakty</w:t>
      </w:r>
    </w:p>
    <w:p w:rsidR="00A64035" w:rsidRDefault="00A64035" w:rsidP="00A64035">
      <w:pPr>
        <w:rPr>
          <w:bCs/>
          <w:sz w:val="18"/>
          <w:szCs w:val="18"/>
        </w:rPr>
      </w:pPr>
    </w:p>
    <w:p w:rsidR="00A64035" w:rsidRPr="00D75958" w:rsidRDefault="00A64035" w:rsidP="0075074A">
      <w:pPr>
        <w:pStyle w:val="Nadpis3"/>
      </w:pPr>
      <w:r w:rsidRPr="00D75958">
        <w:t>Demografický vývoj</w:t>
      </w:r>
    </w:p>
    <w:p w:rsidR="00A64035" w:rsidRPr="00D75958" w:rsidRDefault="00A64035" w:rsidP="00A64035">
      <w:pPr>
        <w:rPr>
          <w:lang w:eastAsia="x-none"/>
        </w:rPr>
      </w:pPr>
    </w:p>
    <w:p w:rsidR="00A64035" w:rsidRPr="00FC5286" w:rsidRDefault="00A64035" w:rsidP="00A64035">
      <w:pPr>
        <w:jc w:val="both"/>
        <w:rPr>
          <w:dstrike/>
          <w:spacing w:val="2"/>
          <w:sz w:val="22"/>
          <w:szCs w:val="22"/>
        </w:rPr>
      </w:pPr>
      <w:r w:rsidRPr="00FC5286">
        <w:rPr>
          <w:sz w:val="22"/>
          <w:szCs w:val="22"/>
        </w:rPr>
        <w:t>Predi</w:t>
      </w:r>
      <w:r w:rsidRPr="00FC5286">
        <w:rPr>
          <w:spacing w:val="2"/>
          <w:sz w:val="22"/>
          <w:szCs w:val="22"/>
        </w:rPr>
        <w:t xml:space="preserve">kce demografického vývoje nevykazuje žádné odchylky od predikcí </w:t>
      </w:r>
      <w:r>
        <w:rPr>
          <w:spacing w:val="2"/>
          <w:sz w:val="22"/>
          <w:szCs w:val="22"/>
        </w:rPr>
        <w:t>Ústeckého kraje,</w:t>
      </w:r>
      <w:r w:rsidRPr="00FC5286">
        <w:rPr>
          <w:spacing w:val="2"/>
          <w:sz w:val="22"/>
          <w:szCs w:val="22"/>
        </w:rPr>
        <w:t xml:space="preserve"> resp. České republi</w:t>
      </w:r>
      <w:r>
        <w:rPr>
          <w:spacing w:val="2"/>
          <w:sz w:val="22"/>
          <w:szCs w:val="22"/>
        </w:rPr>
        <w:t>ky</w:t>
      </w:r>
      <w:r w:rsidRPr="00FC5286">
        <w:rPr>
          <w:spacing w:val="2"/>
          <w:sz w:val="22"/>
          <w:szCs w:val="22"/>
        </w:rPr>
        <w:t xml:space="preserve">. Pro město Chomutov platí obdobné predikce a dopady, </w:t>
      </w:r>
      <w:r>
        <w:rPr>
          <w:spacing w:val="2"/>
          <w:sz w:val="22"/>
          <w:szCs w:val="22"/>
        </w:rPr>
        <w:br/>
      </w:r>
      <w:r w:rsidRPr="00FC5286">
        <w:rPr>
          <w:spacing w:val="2"/>
          <w:sz w:val="22"/>
          <w:szCs w:val="22"/>
        </w:rPr>
        <w:t xml:space="preserve">jako v ostatních regionech republiky. </w:t>
      </w:r>
    </w:p>
    <w:p w:rsidR="00A64035" w:rsidRPr="00FC5286" w:rsidRDefault="00A64035" w:rsidP="00A64035">
      <w:pPr>
        <w:tabs>
          <w:tab w:val="left" w:pos="8640"/>
        </w:tabs>
        <w:rPr>
          <w:bCs/>
          <w:sz w:val="22"/>
          <w:szCs w:val="22"/>
        </w:rPr>
      </w:pPr>
    </w:p>
    <w:p w:rsidR="00A64035" w:rsidRDefault="00A64035" w:rsidP="00A64035">
      <w:pPr>
        <w:tabs>
          <w:tab w:val="left" w:pos="8640"/>
        </w:tabs>
        <w:rPr>
          <w:bCs/>
          <w:i/>
          <w:sz w:val="22"/>
          <w:szCs w:val="22"/>
        </w:rPr>
      </w:pPr>
      <w:r w:rsidRPr="00FC5286">
        <w:rPr>
          <w:bCs/>
          <w:i/>
          <w:sz w:val="22"/>
          <w:szCs w:val="22"/>
        </w:rPr>
        <w:t xml:space="preserve">Příloha č. 9. </w:t>
      </w:r>
      <w:r>
        <w:rPr>
          <w:bCs/>
          <w:i/>
          <w:sz w:val="22"/>
          <w:szCs w:val="22"/>
        </w:rPr>
        <w:t>Predikce vývoje</w:t>
      </w:r>
    </w:p>
    <w:p w:rsidR="00A64035" w:rsidRDefault="00A64035" w:rsidP="00A64035">
      <w:pPr>
        <w:tabs>
          <w:tab w:val="left" w:pos="8640"/>
        </w:tabs>
        <w:rPr>
          <w:bCs/>
          <w:i/>
          <w:sz w:val="22"/>
          <w:szCs w:val="22"/>
        </w:rPr>
      </w:pPr>
      <w:r w:rsidRPr="00FC5286">
        <w:rPr>
          <w:bCs/>
          <w:i/>
          <w:sz w:val="22"/>
          <w:szCs w:val="22"/>
        </w:rPr>
        <w:t xml:space="preserve"> </w:t>
      </w:r>
    </w:p>
    <w:p w:rsidR="00A64035" w:rsidRPr="00D75958" w:rsidRDefault="00A64035" w:rsidP="0075074A">
      <w:pPr>
        <w:pStyle w:val="Nadpis3"/>
      </w:pPr>
      <w:r w:rsidRPr="00D75958">
        <w:t xml:space="preserve">Střední školy a vyšší odborné školy </w:t>
      </w:r>
    </w:p>
    <w:p w:rsidR="00A64035" w:rsidRPr="00D75958" w:rsidRDefault="00A64035" w:rsidP="00A64035">
      <w:pPr>
        <w:rPr>
          <w:lang w:eastAsia="x-none"/>
        </w:rPr>
      </w:pPr>
    </w:p>
    <w:p w:rsidR="00A64035" w:rsidRPr="00FC5286" w:rsidRDefault="00A64035" w:rsidP="00557F1F">
      <w:pPr>
        <w:numPr>
          <w:ilvl w:val="0"/>
          <w:numId w:val="7"/>
        </w:numPr>
        <w:autoSpaceDE w:val="0"/>
        <w:autoSpaceDN w:val="0"/>
        <w:adjustRightInd w:val="0"/>
        <w:spacing w:line="276" w:lineRule="auto"/>
        <w:rPr>
          <w:b/>
          <w:bCs/>
          <w:spacing w:val="2"/>
          <w:sz w:val="22"/>
          <w:szCs w:val="22"/>
        </w:rPr>
      </w:pPr>
      <w:r w:rsidRPr="00FC5286">
        <w:rPr>
          <w:spacing w:val="2"/>
          <w:sz w:val="22"/>
          <w:szCs w:val="22"/>
        </w:rPr>
        <w:t>Optimalizace škol, které k </w:t>
      </w:r>
      <w:r>
        <w:rPr>
          <w:spacing w:val="2"/>
          <w:sz w:val="22"/>
          <w:szCs w:val="22"/>
        </w:rPr>
        <w:t>31</w:t>
      </w:r>
      <w:r w:rsidRPr="00FC5286">
        <w:rPr>
          <w:spacing w:val="2"/>
          <w:sz w:val="22"/>
          <w:szCs w:val="22"/>
        </w:rPr>
        <w:t>.</w:t>
      </w:r>
      <w:r>
        <w:rPr>
          <w:spacing w:val="2"/>
          <w:sz w:val="22"/>
          <w:szCs w:val="22"/>
        </w:rPr>
        <w:t xml:space="preserve"> 8. </w:t>
      </w:r>
      <w:r w:rsidRPr="00FC5286">
        <w:rPr>
          <w:spacing w:val="2"/>
          <w:sz w:val="22"/>
          <w:szCs w:val="22"/>
        </w:rPr>
        <w:t xml:space="preserve">2012 působí na území SMCH, vytvořila předpoklad pro zachování odpovídající struktury vzdělávací nabídky. Nicméně ŠVP ovlivněné současnými potřebami místního a evropského trhu práce, vedou k značným disproporcím v zájmu o konkrétní typy vzdělání. Ve skupinách oborů, které jsou poptávány zaměstnavateli, jako nedostatkové, zejména „učební“, se situace vyvíjí rozdílně. Zatímco </w:t>
      </w:r>
      <w:r>
        <w:rPr>
          <w:spacing w:val="2"/>
          <w:sz w:val="22"/>
          <w:szCs w:val="22"/>
        </w:rPr>
        <w:t xml:space="preserve">počet </w:t>
      </w:r>
      <w:r w:rsidRPr="00FC5286">
        <w:rPr>
          <w:spacing w:val="2"/>
          <w:sz w:val="22"/>
          <w:szCs w:val="22"/>
        </w:rPr>
        <w:t>žáků v oborech strojních je v kraji stabilní, v oborech e</w:t>
      </w:r>
      <w:r>
        <w:rPr>
          <w:spacing w:val="2"/>
          <w:sz w:val="22"/>
          <w:szCs w:val="22"/>
        </w:rPr>
        <w:t xml:space="preserve">lektrotechnických a stavebních </w:t>
      </w:r>
      <w:r w:rsidRPr="00FC5286">
        <w:rPr>
          <w:spacing w:val="2"/>
          <w:sz w:val="22"/>
          <w:szCs w:val="22"/>
        </w:rPr>
        <w:t xml:space="preserve">klesá. Celkově </w:t>
      </w:r>
      <w:r w:rsidRPr="00FC5286">
        <w:rPr>
          <w:b/>
          <w:bCs/>
          <w:spacing w:val="2"/>
          <w:sz w:val="22"/>
          <w:szCs w:val="22"/>
        </w:rPr>
        <w:t>lze konstatovat,</w:t>
      </w:r>
      <w:r>
        <w:rPr>
          <w:b/>
          <w:bCs/>
          <w:spacing w:val="2"/>
          <w:sz w:val="22"/>
          <w:szCs w:val="22"/>
        </w:rPr>
        <w:t xml:space="preserve"> </w:t>
      </w:r>
      <w:r w:rsidRPr="00FC5286">
        <w:rPr>
          <w:b/>
          <w:bCs/>
          <w:spacing w:val="2"/>
          <w:sz w:val="22"/>
          <w:szCs w:val="22"/>
        </w:rPr>
        <w:t xml:space="preserve">že klesá zájem </w:t>
      </w:r>
      <w:r>
        <w:rPr>
          <w:b/>
          <w:bCs/>
          <w:spacing w:val="2"/>
          <w:sz w:val="22"/>
          <w:szCs w:val="22"/>
        </w:rPr>
        <w:br/>
      </w:r>
      <w:r w:rsidRPr="00FC5286">
        <w:rPr>
          <w:b/>
          <w:bCs/>
          <w:spacing w:val="2"/>
          <w:sz w:val="22"/>
          <w:szCs w:val="22"/>
        </w:rPr>
        <w:t>o obory zakončené závěrečnou zkouškou s výučním listem</w:t>
      </w:r>
      <w:r w:rsidRPr="00FC5286">
        <w:rPr>
          <w:spacing w:val="2"/>
          <w:sz w:val="22"/>
          <w:szCs w:val="22"/>
        </w:rPr>
        <w:t xml:space="preserve">. Tento trend dokládají statistické údaje, jak v kraji, tak v celé České republice. </w:t>
      </w:r>
      <w:r>
        <w:rPr>
          <w:spacing w:val="2"/>
          <w:sz w:val="22"/>
          <w:szCs w:val="22"/>
        </w:rPr>
        <w:br/>
      </w:r>
      <w:r w:rsidRPr="00FC5286">
        <w:rPr>
          <w:spacing w:val="2"/>
          <w:sz w:val="22"/>
          <w:szCs w:val="22"/>
        </w:rPr>
        <w:t>Podle údajů za rok 2010 je situace již natolik vážná, že v řadě případů hrozí zánik zejména příslušných součástí polyfunkčních škol, které dosud výuku „učebních“ oborů zajišťují.</w:t>
      </w:r>
    </w:p>
    <w:p w:rsidR="00A64035" w:rsidRPr="00FC5286" w:rsidRDefault="00A64035" w:rsidP="00557F1F">
      <w:pPr>
        <w:numPr>
          <w:ilvl w:val="0"/>
          <w:numId w:val="7"/>
        </w:numPr>
        <w:autoSpaceDE w:val="0"/>
        <w:autoSpaceDN w:val="0"/>
        <w:adjustRightInd w:val="0"/>
        <w:spacing w:line="276" w:lineRule="auto"/>
        <w:rPr>
          <w:b/>
          <w:bCs/>
          <w:spacing w:val="2"/>
          <w:sz w:val="22"/>
          <w:szCs w:val="22"/>
        </w:rPr>
      </w:pPr>
      <w:r w:rsidRPr="00FC5286">
        <w:rPr>
          <w:b/>
          <w:bCs/>
          <w:spacing w:val="2"/>
          <w:sz w:val="22"/>
          <w:szCs w:val="22"/>
        </w:rPr>
        <w:t>V oborech vzdělání s maturitní zkouškou naopak žáků celkově přibývá</w:t>
      </w:r>
      <w:r w:rsidRPr="00FC5286">
        <w:rPr>
          <w:spacing w:val="2"/>
          <w:sz w:val="22"/>
          <w:szCs w:val="22"/>
        </w:rPr>
        <w:t xml:space="preserve">. </w:t>
      </w:r>
      <w:r>
        <w:rPr>
          <w:spacing w:val="2"/>
          <w:sz w:val="22"/>
          <w:szCs w:val="22"/>
        </w:rPr>
        <w:br/>
      </w:r>
      <w:r w:rsidRPr="00FC5286">
        <w:rPr>
          <w:spacing w:val="2"/>
          <w:sz w:val="22"/>
          <w:szCs w:val="22"/>
        </w:rPr>
        <w:t xml:space="preserve">Ve sledovaných a  poslední době poptávaných oblastech technického vzdělání: strojírenství, stavebnictví a elektrotechnika je počet žáků spíše stabilní (přibližně 1800 v každém segmentu). V oborech zaměřených na služby a gastronomii tento počet stoupá (od roku 2001 nárůst o 300 žáků). </w:t>
      </w:r>
      <w:r>
        <w:rPr>
          <w:spacing w:val="2"/>
          <w:sz w:val="22"/>
          <w:szCs w:val="22"/>
        </w:rPr>
        <w:t>v důsledku k</w:t>
      </w:r>
      <w:r w:rsidRPr="00FC5286">
        <w:rPr>
          <w:spacing w:val="2"/>
          <w:sz w:val="22"/>
          <w:szCs w:val="22"/>
        </w:rPr>
        <w:t>lesající</w:t>
      </w:r>
      <w:r>
        <w:rPr>
          <w:spacing w:val="2"/>
          <w:sz w:val="22"/>
          <w:szCs w:val="22"/>
        </w:rPr>
        <w:t>ho počtu</w:t>
      </w:r>
      <w:r w:rsidRPr="00FC5286">
        <w:rPr>
          <w:spacing w:val="2"/>
          <w:sz w:val="22"/>
          <w:szCs w:val="22"/>
        </w:rPr>
        <w:t xml:space="preserve"> žáků (demografický vliv) dochází v systému středních škol k uvolnění kapacit. Zv</w:t>
      </w:r>
      <w:r>
        <w:rPr>
          <w:spacing w:val="2"/>
          <w:sz w:val="22"/>
          <w:szCs w:val="22"/>
        </w:rPr>
        <w:t>yšuje</w:t>
      </w:r>
      <w:r w:rsidRPr="00FC5286">
        <w:rPr>
          <w:spacing w:val="2"/>
          <w:sz w:val="22"/>
          <w:szCs w:val="22"/>
        </w:rPr>
        <w:t xml:space="preserve"> se počet volných míst pro přijetí ke vzdělávání. Školy využívají zákonné možnosti přijetí žáků ke vzdělávání bez konání přijímacích zkoušek. </w:t>
      </w:r>
      <w:r w:rsidRPr="00FC5286">
        <w:rPr>
          <w:b/>
          <w:bCs/>
          <w:spacing w:val="2"/>
          <w:sz w:val="22"/>
          <w:szCs w:val="22"/>
        </w:rPr>
        <w:t xml:space="preserve">Obory vzdělání s maturitní zkouškou se staly pro všechny zájemce snadněji dostupné, </w:t>
      </w:r>
      <w:r w:rsidRPr="00FC5286">
        <w:rPr>
          <w:spacing w:val="2"/>
          <w:sz w:val="22"/>
          <w:szCs w:val="22"/>
        </w:rPr>
        <w:t>jistým korektorem se stane společná část maturitní zkoušky</w:t>
      </w:r>
      <w:r w:rsidRPr="00FC5286">
        <w:rPr>
          <w:b/>
          <w:bCs/>
          <w:spacing w:val="2"/>
          <w:sz w:val="22"/>
          <w:szCs w:val="22"/>
        </w:rPr>
        <w:t xml:space="preserve">. </w:t>
      </w:r>
    </w:p>
    <w:p w:rsidR="00A64035" w:rsidRPr="00FC5286" w:rsidRDefault="00A64035" w:rsidP="00A64035">
      <w:pPr>
        <w:autoSpaceDE w:val="0"/>
        <w:autoSpaceDN w:val="0"/>
        <w:adjustRightInd w:val="0"/>
        <w:spacing w:line="276" w:lineRule="auto"/>
        <w:ind w:left="720"/>
        <w:rPr>
          <w:b/>
          <w:bCs/>
          <w:spacing w:val="2"/>
          <w:sz w:val="22"/>
          <w:szCs w:val="22"/>
        </w:rPr>
      </w:pPr>
    </w:p>
    <w:p w:rsidR="00A64035" w:rsidRPr="00FC5286" w:rsidRDefault="00A64035" w:rsidP="00557F1F">
      <w:pPr>
        <w:numPr>
          <w:ilvl w:val="0"/>
          <w:numId w:val="7"/>
        </w:numPr>
        <w:spacing w:line="276" w:lineRule="auto"/>
        <w:rPr>
          <w:spacing w:val="2"/>
          <w:sz w:val="22"/>
          <w:szCs w:val="22"/>
        </w:rPr>
      </w:pPr>
      <w:r w:rsidRPr="00FC5286">
        <w:rPr>
          <w:spacing w:val="2"/>
          <w:sz w:val="22"/>
          <w:szCs w:val="22"/>
        </w:rPr>
        <w:t xml:space="preserve">Nedostatek žáků pociťují postupně všechny typy škol včetně gymnázií. Větší počet míst v primách pak vede k odlivu možných budoucích žáků technických oborů vzdělání a současně k úbytku počtu žáků na druhých stupních základních škol. </w:t>
      </w:r>
      <w:r w:rsidRPr="00FC5286">
        <w:rPr>
          <w:sz w:val="22"/>
          <w:szCs w:val="22"/>
        </w:rPr>
        <w:t xml:space="preserve">Vzhledem k tomuto je </w:t>
      </w:r>
      <w:r w:rsidRPr="00FC5286">
        <w:rPr>
          <w:b/>
          <w:bCs/>
          <w:sz w:val="22"/>
          <w:szCs w:val="22"/>
        </w:rPr>
        <w:t>kapacitně dostačující takový počet prim, který odpovídá počtu gymnázií</w:t>
      </w:r>
      <w:r w:rsidRPr="00FC5286">
        <w:rPr>
          <w:sz w:val="22"/>
          <w:szCs w:val="22"/>
        </w:rPr>
        <w:t>. Jinými slovy jedna prima v každém gymnáziu.</w:t>
      </w:r>
    </w:p>
    <w:p w:rsidR="00A64035" w:rsidRDefault="00A64035" w:rsidP="00557F1F">
      <w:pPr>
        <w:numPr>
          <w:ilvl w:val="0"/>
          <w:numId w:val="7"/>
        </w:numPr>
        <w:spacing w:line="276" w:lineRule="auto"/>
        <w:rPr>
          <w:sz w:val="22"/>
          <w:szCs w:val="22"/>
        </w:rPr>
      </w:pPr>
      <w:r w:rsidRPr="00FC5286">
        <w:rPr>
          <w:sz w:val="22"/>
          <w:szCs w:val="22"/>
        </w:rPr>
        <w:t xml:space="preserve">Vývoje situace ve školství a na trhu, zejména s ohledem na počty žáků </w:t>
      </w:r>
      <w:r w:rsidRPr="00FC5286">
        <w:rPr>
          <w:sz w:val="22"/>
          <w:szCs w:val="22"/>
        </w:rPr>
        <w:br/>
        <w:t xml:space="preserve">a zájem o jednotlivé typy středního vzdělávání ve vztahu ke konkrétním typům škol </w:t>
      </w:r>
      <w:r>
        <w:rPr>
          <w:sz w:val="22"/>
          <w:szCs w:val="22"/>
        </w:rPr>
        <w:br/>
      </w:r>
      <w:r w:rsidRPr="00FC5286">
        <w:rPr>
          <w:sz w:val="22"/>
          <w:szCs w:val="22"/>
        </w:rPr>
        <w:t xml:space="preserve">a lokalit, ukazuje potřebu </w:t>
      </w:r>
      <w:r w:rsidRPr="00FC5286">
        <w:rPr>
          <w:b/>
          <w:bCs/>
          <w:sz w:val="22"/>
          <w:szCs w:val="22"/>
        </w:rPr>
        <w:t>vytváření tzv. polyfunkčních škol</w:t>
      </w:r>
      <w:r w:rsidRPr="00FC5286">
        <w:rPr>
          <w:sz w:val="22"/>
          <w:szCs w:val="22"/>
        </w:rPr>
        <w:t>. Tedy škol nabízejících obory v různých úrovních vzdělávání (výuční list + maturitní vysvědčení, maturitní vysvědčení + absolutorium, atd.).</w:t>
      </w:r>
    </w:p>
    <w:p w:rsidR="00A64035" w:rsidRPr="00FC5286" w:rsidRDefault="00A64035" w:rsidP="00A64035">
      <w:pPr>
        <w:spacing w:line="276" w:lineRule="auto"/>
        <w:ind w:left="720"/>
        <w:jc w:val="both"/>
        <w:rPr>
          <w:sz w:val="22"/>
          <w:szCs w:val="22"/>
        </w:rPr>
      </w:pPr>
    </w:p>
    <w:p w:rsidR="00A64035" w:rsidRPr="00D75958" w:rsidRDefault="00A64035" w:rsidP="0075074A">
      <w:pPr>
        <w:pStyle w:val="Nadpis3"/>
      </w:pPr>
      <w:r w:rsidRPr="00D75958">
        <w:t>Základní principy rozvoje</w:t>
      </w:r>
    </w:p>
    <w:p w:rsidR="00A64035" w:rsidRPr="00D75958" w:rsidRDefault="00A64035" w:rsidP="00A64035">
      <w:pPr>
        <w:rPr>
          <w:lang w:eastAsia="x-none"/>
        </w:rPr>
      </w:pPr>
    </w:p>
    <w:p w:rsidR="00A64035" w:rsidRPr="00FC5286" w:rsidRDefault="00A64035" w:rsidP="00557F1F">
      <w:pPr>
        <w:numPr>
          <w:ilvl w:val="0"/>
          <w:numId w:val="8"/>
        </w:numPr>
        <w:spacing w:line="276" w:lineRule="auto"/>
        <w:rPr>
          <w:rFonts w:cs="Arial"/>
          <w:sz w:val="22"/>
          <w:szCs w:val="22"/>
        </w:rPr>
      </w:pPr>
      <w:r w:rsidRPr="00FC5286">
        <w:rPr>
          <w:rFonts w:cs="Arial"/>
          <w:sz w:val="22"/>
          <w:szCs w:val="22"/>
        </w:rPr>
        <w:t>Základní struktura sítě škol bude i nadále budována v tradičních sídlech, kde bude zachován větší počet a širší škála škol v návaznosti na požadavky trhu práce (zejména zaměstnavatelských svazů a investorů). Určujícím parametrem bude vývoj počtu žáků a ekonomičnost provozu škol</w:t>
      </w:r>
      <w:r>
        <w:rPr>
          <w:rFonts w:cs="Arial"/>
          <w:sz w:val="22"/>
          <w:szCs w:val="22"/>
        </w:rPr>
        <w:t>,</w:t>
      </w:r>
      <w:r w:rsidRPr="00FC5286">
        <w:rPr>
          <w:rFonts w:cs="Arial"/>
          <w:sz w:val="22"/>
          <w:szCs w:val="22"/>
        </w:rPr>
        <w:t xml:space="preserve"> a to dle možností škol polyfunkčních </w:t>
      </w:r>
      <w:r>
        <w:rPr>
          <w:rFonts w:cs="Arial"/>
          <w:sz w:val="22"/>
          <w:szCs w:val="22"/>
        </w:rPr>
        <w:br/>
      </w:r>
      <w:r w:rsidRPr="00FC5286">
        <w:rPr>
          <w:rFonts w:cs="Arial"/>
          <w:sz w:val="22"/>
          <w:szCs w:val="22"/>
        </w:rPr>
        <w:t>s úplnou vzdělávací nabídkou.</w:t>
      </w:r>
    </w:p>
    <w:p w:rsidR="00A64035" w:rsidRPr="00FC5286" w:rsidRDefault="00A64035" w:rsidP="00557F1F">
      <w:pPr>
        <w:numPr>
          <w:ilvl w:val="0"/>
          <w:numId w:val="8"/>
        </w:numPr>
        <w:spacing w:line="276" w:lineRule="auto"/>
        <w:rPr>
          <w:rFonts w:cs="Arial"/>
          <w:sz w:val="22"/>
          <w:szCs w:val="22"/>
        </w:rPr>
      </w:pPr>
      <w:r w:rsidRPr="00FC5286">
        <w:rPr>
          <w:rFonts w:cs="Arial"/>
          <w:sz w:val="22"/>
          <w:szCs w:val="22"/>
        </w:rPr>
        <w:t>Snahou škol by mělo být udržení dostatečné průměrné naplněnosti žáků na nabízené obory vzdělání.</w:t>
      </w:r>
    </w:p>
    <w:p w:rsidR="00A64035" w:rsidRPr="00FC5286" w:rsidRDefault="00A64035" w:rsidP="00557F1F">
      <w:pPr>
        <w:numPr>
          <w:ilvl w:val="0"/>
          <w:numId w:val="8"/>
        </w:numPr>
        <w:spacing w:line="276" w:lineRule="auto"/>
        <w:rPr>
          <w:rFonts w:cs="Arial"/>
          <w:sz w:val="22"/>
          <w:szCs w:val="22"/>
        </w:rPr>
      </w:pPr>
      <w:r w:rsidRPr="00FC5286">
        <w:rPr>
          <w:rFonts w:cs="Arial"/>
          <w:sz w:val="22"/>
          <w:szCs w:val="22"/>
        </w:rPr>
        <w:t>Spolupráce s řediteli škol při tvorbě lokálních projektů, maximální využití aktivity samotných škol při realizaci soustavy škol. Školy při zpracování návrhů budou vycházet zejména z Dlouhodobého záměru vzdělávání a rozvoje vzdělávací soustavy v Ústeckém kraji, vlastních strategických materiálů</w:t>
      </w:r>
      <w:r>
        <w:rPr>
          <w:rFonts w:cs="Arial"/>
          <w:sz w:val="22"/>
          <w:szCs w:val="22"/>
        </w:rPr>
        <w:t>,</w:t>
      </w:r>
      <w:r w:rsidRPr="00FC5286">
        <w:rPr>
          <w:rFonts w:cs="Arial"/>
          <w:sz w:val="22"/>
          <w:szCs w:val="22"/>
        </w:rPr>
        <w:t xml:space="preserve"> výročních zpráv a sebehodnocení.</w:t>
      </w:r>
    </w:p>
    <w:p w:rsidR="00A64035" w:rsidRPr="00FC5286" w:rsidRDefault="00A64035" w:rsidP="00557F1F">
      <w:pPr>
        <w:numPr>
          <w:ilvl w:val="0"/>
          <w:numId w:val="8"/>
        </w:numPr>
        <w:spacing w:line="276" w:lineRule="auto"/>
        <w:rPr>
          <w:rFonts w:cs="Arial"/>
          <w:sz w:val="22"/>
          <w:szCs w:val="22"/>
        </w:rPr>
      </w:pPr>
      <w:r w:rsidRPr="00FC5286">
        <w:rPr>
          <w:rFonts w:cs="Arial"/>
          <w:sz w:val="22"/>
          <w:szCs w:val="22"/>
        </w:rPr>
        <w:t>Zapojení zaměstnavatelských subjektů do tvorby projektů škol dle příslušných spádových lokalit.</w:t>
      </w:r>
    </w:p>
    <w:p w:rsidR="00A64035" w:rsidRPr="00FC5286" w:rsidRDefault="00A64035" w:rsidP="00557F1F">
      <w:pPr>
        <w:numPr>
          <w:ilvl w:val="0"/>
          <w:numId w:val="8"/>
        </w:numPr>
        <w:spacing w:line="276" w:lineRule="auto"/>
        <w:rPr>
          <w:rFonts w:cs="Arial"/>
          <w:sz w:val="22"/>
          <w:szCs w:val="22"/>
        </w:rPr>
      </w:pPr>
      <w:r w:rsidRPr="00FC5286">
        <w:rPr>
          <w:rFonts w:cs="Arial"/>
          <w:sz w:val="22"/>
          <w:szCs w:val="22"/>
        </w:rPr>
        <w:t>Veškeré realizované procesy musí vycházet z platné legislativy a realizovány budou moci být na základě platných rozhodnutí správce rejstříku škol a školských zařízení</w:t>
      </w:r>
      <w:r>
        <w:rPr>
          <w:rFonts w:cs="Arial"/>
          <w:sz w:val="22"/>
          <w:szCs w:val="22"/>
        </w:rPr>
        <w:br/>
      </w:r>
      <w:r w:rsidRPr="00FC5286">
        <w:rPr>
          <w:rFonts w:cs="Arial"/>
          <w:sz w:val="22"/>
          <w:szCs w:val="22"/>
        </w:rPr>
        <w:t>tj. MŠMT.</w:t>
      </w:r>
    </w:p>
    <w:p w:rsidR="00A64035" w:rsidRDefault="00A64035" w:rsidP="00557F1F">
      <w:pPr>
        <w:numPr>
          <w:ilvl w:val="0"/>
          <w:numId w:val="8"/>
        </w:numPr>
        <w:spacing w:line="276" w:lineRule="auto"/>
        <w:rPr>
          <w:rFonts w:cs="Arial"/>
          <w:sz w:val="22"/>
          <w:szCs w:val="22"/>
        </w:rPr>
      </w:pPr>
      <w:r w:rsidRPr="00FC5286">
        <w:rPr>
          <w:rFonts w:cs="Arial"/>
          <w:sz w:val="22"/>
          <w:szCs w:val="22"/>
        </w:rPr>
        <w:t>Podpora forem dalšího vzdělávání – for</w:t>
      </w:r>
      <w:r>
        <w:rPr>
          <w:rFonts w:cs="Arial"/>
          <w:sz w:val="22"/>
          <w:szCs w:val="22"/>
        </w:rPr>
        <w:t>mální, neformální a informální.</w:t>
      </w:r>
    </w:p>
    <w:p w:rsidR="00A64035" w:rsidRPr="00FC5286" w:rsidRDefault="00A64035" w:rsidP="00A64035">
      <w:pPr>
        <w:spacing w:line="276" w:lineRule="auto"/>
        <w:ind w:left="720"/>
        <w:jc w:val="both"/>
        <w:rPr>
          <w:rFonts w:cs="Arial"/>
          <w:sz w:val="22"/>
          <w:szCs w:val="22"/>
        </w:rPr>
      </w:pPr>
    </w:p>
    <w:p w:rsidR="00A64035" w:rsidRPr="00D75958" w:rsidRDefault="00A64035" w:rsidP="0075074A">
      <w:pPr>
        <w:pStyle w:val="Nadpis3"/>
      </w:pPr>
      <w:r w:rsidRPr="00D75958">
        <w:t>Vyšší odborné školy</w:t>
      </w:r>
    </w:p>
    <w:p w:rsidR="00A64035" w:rsidRPr="00D75958" w:rsidRDefault="00A64035" w:rsidP="00A64035">
      <w:pPr>
        <w:rPr>
          <w:lang w:eastAsia="x-none"/>
        </w:rPr>
      </w:pPr>
    </w:p>
    <w:p w:rsidR="00A64035" w:rsidRDefault="00A64035" w:rsidP="00A64035">
      <w:pPr>
        <w:tabs>
          <w:tab w:val="left" w:pos="8640"/>
        </w:tabs>
        <w:spacing w:after="240" w:line="276" w:lineRule="auto"/>
        <w:rPr>
          <w:rFonts w:cs="Arial"/>
          <w:sz w:val="22"/>
          <w:szCs w:val="22"/>
        </w:rPr>
      </w:pPr>
      <w:r w:rsidRPr="00FC5286">
        <w:rPr>
          <w:rFonts w:cs="Arial"/>
          <w:sz w:val="22"/>
          <w:szCs w:val="22"/>
        </w:rPr>
        <w:t>Nedílnou součást soustavy škol a školských zařízení tvoří vyšší odborné školy. Tento segment terciárního vzdělání, který zřizuje Ústecký kraj, představuje místně dostupnou možnost získat vyšší vzdělání. V Ústeckém kraji nejsou vyšší odborné školy samostatné.</w:t>
      </w:r>
      <w:r>
        <w:rPr>
          <w:rFonts w:cs="Arial"/>
          <w:sz w:val="22"/>
          <w:szCs w:val="22"/>
        </w:rPr>
        <w:t xml:space="preserve"> Jsou logickou součástí středních škol. </w:t>
      </w:r>
    </w:p>
    <w:p w:rsidR="00A64035" w:rsidRDefault="00A64035" w:rsidP="00A64035">
      <w:pPr>
        <w:tabs>
          <w:tab w:val="left" w:pos="8640"/>
        </w:tabs>
        <w:spacing w:after="240" w:line="276" w:lineRule="auto"/>
        <w:rPr>
          <w:rFonts w:cs="Arial"/>
          <w:bCs/>
          <w:sz w:val="22"/>
          <w:szCs w:val="22"/>
        </w:rPr>
      </w:pPr>
      <w:r w:rsidRPr="00FC5286">
        <w:rPr>
          <w:rFonts w:cs="Arial"/>
          <w:sz w:val="22"/>
          <w:szCs w:val="22"/>
        </w:rPr>
        <w:t>Vyšš</w:t>
      </w:r>
      <w:r w:rsidRPr="00FC5286">
        <w:rPr>
          <w:rFonts w:cs="Arial"/>
          <w:bCs/>
          <w:sz w:val="22"/>
          <w:szCs w:val="22"/>
        </w:rPr>
        <w:t>í odborná škola je svým vzdělávacím programem orientována zejména na praktickou přípravu a rychlé uplatnění absolventů v konkrétní odbornosti. Absolventi ve své většině nastupují po škole do pracovního procesu a nezatěžují úřady práce.</w:t>
      </w:r>
    </w:p>
    <w:p w:rsidR="00A64035" w:rsidRPr="00FC5286" w:rsidRDefault="00A64035" w:rsidP="00A64035">
      <w:pPr>
        <w:tabs>
          <w:tab w:val="left" w:pos="8640"/>
        </w:tabs>
        <w:spacing w:after="240" w:line="276" w:lineRule="auto"/>
        <w:jc w:val="both"/>
        <w:rPr>
          <w:rFonts w:cs="Arial"/>
          <w:bCs/>
          <w:sz w:val="22"/>
          <w:szCs w:val="22"/>
        </w:rPr>
      </w:pPr>
    </w:p>
    <w:p w:rsidR="00A64035" w:rsidRPr="00D75958" w:rsidRDefault="00A64035" w:rsidP="0075074A">
      <w:pPr>
        <w:pStyle w:val="Nadpis3"/>
      </w:pPr>
      <w:r w:rsidRPr="00D75958">
        <w:lastRenderedPageBreak/>
        <w:t>Vysoké školy</w:t>
      </w:r>
    </w:p>
    <w:p w:rsidR="00A64035" w:rsidRPr="00D75958" w:rsidRDefault="00A64035" w:rsidP="00A64035">
      <w:pPr>
        <w:rPr>
          <w:lang w:eastAsia="x-none"/>
        </w:rPr>
      </w:pPr>
    </w:p>
    <w:p w:rsidR="00A64035" w:rsidRPr="00FC5286" w:rsidRDefault="00A64035" w:rsidP="00A64035">
      <w:pPr>
        <w:spacing w:line="276" w:lineRule="auto"/>
        <w:rPr>
          <w:rFonts w:cs="Arial"/>
          <w:iCs/>
          <w:sz w:val="22"/>
          <w:szCs w:val="22"/>
        </w:rPr>
      </w:pPr>
      <w:r w:rsidRPr="00FC5286">
        <w:rPr>
          <w:rFonts w:cs="Arial"/>
          <w:sz w:val="22"/>
          <w:szCs w:val="22"/>
        </w:rPr>
        <w:t xml:space="preserve">První </w:t>
      </w:r>
      <w:r w:rsidRPr="00FC5286">
        <w:rPr>
          <w:rFonts w:cs="Arial"/>
          <w:iCs/>
          <w:sz w:val="22"/>
          <w:szCs w:val="22"/>
        </w:rPr>
        <w:t xml:space="preserve">nabídka vysoké školy v Chomutově umožňuje </w:t>
      </w:r>
      <w:r w:rsidRPr="00FC5286">
        <w:rPr>
          <w:rFonts w:cs="Arial"/>
          <w:b/>
          <w:bCs/>
          <w:iCs/>
          <w:sz w:val="22"/>
          <w:szCs w:val="22"/>
        </w:rPr>
        <w:t>technické vzdělávání v prezenční formě (ČVUT Praha</w:t>
      </w:r>
      <w:r>
        <w:rPr>
          <w:rFonts w:cs="Arial"/>
          <w:iCs/>
          <w:sz w:val="22"/>
          <w:szCs w:val="22"/>
        </w:rPr>
        <w:t>)</w:t>
      </w:r>
      <w:r w:rsidRPr="00FC5286">
        <w:rPr>
          <w:rFonts w:cs="Arial"/>
          <w:iCs/>
          <w:sz w:val="22"/>
          <w:szCs w:val="22"/>
        </w:rPr>
        <w:t xml:space="preserve"> absolventům středních škol</w:t>
      </w:r>
      <w:r>
        <w:rPr>
          <w:rFonts w:cs="Arial"/>
          <w:iCs/>
          <w:sz w:val="22"/>
          <w:szCs w:val="22"/>
        </w:rPr>
        <w:t>,</w:t>
      </w:r>
      <w:r w:rsidRPr="00FC5286">
        <w:rPr>
          <w:rFonts w:cs="Arial"/>
          <w:iCs/>
          <w:sz w:val="22"/>
          <w:szCs w:val="22"/>
        </w:rPr>
        <w:t xml:space="preserve"> a to prvním ročníkem s následným přestupem do Prahy ve 2. ročníku. Přes veškerá prezentační úsilí není tato varianta dostatečně poptávána a úbytek studentů v průběhu zimního období často znamená neotevření období letního</w:t>
      </w:r>
      <w:r>
        <w:rPr>
          <w:rFonts w:cs="Arial"/>
          <w:iCs/>
          <w:sz w:val="22"/>
          <w:szCs w:val="22"/>
        </w:rPr>
        <w:t>. J</w:t>
      </w:r>
      <w:r w:rsidRPr="00FC5286">
        <w:rPr>
          <w:rFonts w:cs="Arial"/>
          <w:iCs/>
          <w:sz w:val="22"/>
          <w:szCs w:val="22"/>
        </w:rPr>
        <w:t xml:space="preserve">ako koncepční by se jevila realizace celých tří let </w:t>
      </w:r>
      <w:r>
        <w:rPr>
          <w:rFonts w:cs="Arial"/>
          <w:iCs/>
          <w:sz w:val="22"/>
          <w:szCs w:val="22"/>
        </w:rPr>
        <w:br/>
      </w:r>
      <w:r w:rsidRPr="00FC5286">
        <w:rPr>
          <w:rFonts w:cs="Arial"/>
          <w:iCs/>
          <w:sz w:val="22"/>
          <w:szCs w:val="22"/>
        </w:rPr>
        <w:t xml:space="preserve">až k bakalářským zkouškám. </w:t>
      </w:r>
    </w:p>
    <w:p w:rsidR="00A64035" w:rsidRPr="00FC5286" w:rsidRDefault="00A64035" w:rsidP="00A64035">
      <w:pPr>
        <w:spacing w:line="276" w:lineRule="auto"/>
        <w:rPr>
          <w:rFonts w:cs="Arial"/>
          <w:iCs/>
          <w:sz w:val="22"/>
          <w:szCs w:val="22"/>
        </w:rPr>
      </w:pPr>
    </w:p>
    <w:p w:rsidR="00A64035" w:rsidRPr="00FC5286" w:rsidRDefault="00A64035" w:rsidP="00A64035">
      <w:pPr>
        <w:spacing w:line="276" w:lineRule="auto"/>
        <w:rPr>
          <w:rFonts w:cs="Arial"/>
          <w:iCs/>
          <w:sz w:val="22"/>
          <w:szCs w:val="22"/>
        </w:rPr>
      </w:pPr>
      <w:r w:rsidRPr="00FC5286">
        <w:rPr>
          <w:rFonts w:cs="Arial"/>
          <w:iCs/>
          <w:sz w:val="22"/>
          <w:szCs w:val="22"/>
        </w:rPr>
        <w:t xml:space="preserve">Druhá nabídka vysoké školy v Chomutově umožňuje </w:t>
      </w:r>
      <w:r w:rsidRPr="00FC5286">
        <w:rPr>
          <w:rFonts w:cs="Arial"/>
          <w:b/>
          <w:bCs/>
          <w:iCs/>
          <w:sz w:val="22"/>
          <w:szCs w:val="22"/>
        </w:rPr>
        <w:t>technické vzdělání v kombinované formě (UJEP Ú/L</w:t>
      </w:r>
      <w:r w:rsidRPr="00FC5286">
        <w:rPr>
          <w:rFonts w:cs="Arial"/>
          <w:iCs/>
          <w:sz w:val="22"/>
          <w:szCs w:val="22"/>
        </w:rPr>
        <w:t>), absolventům středních škol již v pracovním poměru</w:t>
      </w:r>
      <w:r>
        <w:rPr>
          <w:rFonts w:cs="Arial"/>
          <w:iCs/>
          <w:sz w:val="22"/>
          <w:szCs w:val="22"/>
        </w:rPr>
        <w:t>,</w:t>
      </w:r>
      <w:r w:rsidRPr="00FC5286">
        <w:rPr>
          <w:rFonts w:cs="Arial"/>
          <w:iCs/>
          <w:sz w:val="22"/>
          <w:szCs w:val="22"/>
        </w:rPr>
        <w:t xml:space="preserve"> a to ve tříletém vzdělávání se ziskem titulu Bc.</w:t>
      </w:r>
    </w:p>
    <w:p w:rsidR="00A64035" w:rsidRDefault="00A64035" w:rsidP="00A64035">
      <w:pPr>
        <w:spacing w:line="276" w:lineRule="auto"/>
        <w:rPr>
          <w:rFonts w:cs="Arial"/>
          <w:iCs/>
          <w:sz w:val="22"/>
          <w:szCs w:val="22"/>
        </w:rPr>
      </w:pPr>
      <w:r w:rsidRPr="00FC5286">
        <w:rPr>
          <w:rFonts w:cs="Arial"/>
          <w:iCs/>
          <w:sz w:val="22"/>
          <w:szCs w:val="22"/>
        </w:rPr>
        <w:t xml:space="preserve">Vzhledem k odlišným cílovým skupinám si stávající detašovaná pracoviště přímo </w:t>
      </w:r>
      <w:r>
        <w:rPr>
          <w:rFonts w:cs="Arial"/>
          <w:iCs/>
          <w:sz w:val="22"/>
          <w:szCs w:val="22"/>
        </w:rPr>
        <w:t>n</w:t>
      </w:r>
      <w:r w:rsidRPr="00FC5286">
        <w:rPr>
          <w:rFonts w:cs="Arial"/>
          <w:iCs/>
          <w:sz w:val="22"/>
          <w:szCs w:val="22"/>
        </w:rPr>
        <w:t xml:space="preserve">ekonkurují, ale povědomí o vzdělávacích možnostech ve veřejnosti je nízké, </w:t>
      </w:r>
      <w:r>
        <w:rPr>
          <w:rFonts w:cs="Arial"/>
          <w:iCs/>
          <w:sz w:val="22"/>
          <w:szCs w:val="22"/>
        </w:rPr>
        <w:br/>
      </w:r>
      <w:r w:rsidRPr="00FC5286">
        <w:rPr>
          <w:rFonts w:cs="Arial"/>
          <w:iCs/>
          <w:sz w:val="22"/>
          <w:szCs w:val="22"/>
        </w:rPr>
        <w:t>tedy s potřebou propagace, která je také v zájmu SMCH.</w:t>
      </w:r>
    </w:p>
    <w:p w:rsidR="00A64035" w:rsidRPr="00FC5286" w:rsidRDefault="00A64035" w:rsidP="00A64035">
      <w:pPr>
        <w:spacing w:line="276" w:lineRule="auto"/>
        <w:jc w:val="both"/>
        <w:rPr>
          <w:rFonts w:cs="Arial"/>
          <w:iCs/>
          <w:sz w:val="22"/>
          <w:szCs w:val="22"/>
        </w:rPr>
      </w:pPr>
    </w:p>
    <w:p w:rsidR="00A64035" w:rsidRDefault="00A64035" w:rsidP="0075074A">
      <w:pPr>
        <w:pStyle w:val="Nadpis3"/>
      </w:pPr>
      <w:r>
        <w:t>Další vzdělávání</w:t>
      </w:r>
    </w:p>
    <w:p w:rsidR="00A64035" w:rsidRPr="00D75958" w:rsidRDefault="00A64035" w:rsidP="00A64035">
      <w:pPr>
        <w:rPr>
          <w:lang w:eastAsia="x-none"/>
        </w:rPr>
      </w:pPr>
    </w:p>
    <w:p w:rsidR="00A64035" w:rsidRDefault="00A64035" w:rsidP="00A64035">
      <w:pPr>
        <w:spacing w:line="276" w:lineRule="auto"/>
        <w:rPr>
          <w:rFonts w:cs="Arial"/>
          <w:sz w:val="22"/>
          <w:szCs w:val="22"/>
        </w:rPr>
      </w:pPr>
      <w:r w:rsidRPr="00FC5286">
        <w:rPr>
          <w:rFonts w:cs="Arial"/>
          <w:sz w:val="22"/>
          <w:szCs w:val="22"/>
        </w:rPr>
        <w:t>S ohledem na míru aktivní politik</w:t>
      </w:r>
      <w:r>
        <w:rPr>
          <w:rFonts w:cs="Arial"/>
          <w:sz w:val="22"/>
          <w:szCs w:val="22"/>
        </w:rPr>
        <w:t>y</w:t>
      </w:r>
      <w:r w:rsidRPr="00FC5286">
        <w:rPr>
          <w:rFonts w:cs="Arial"/>
          <w:sz w:val="22"/>
          <w:szCs w:val="22"/>
        </w:rPr>
        <w:t xml:space="preserve"> zaměstnanosti v regionu a na vzdělanostní strukturu obyvatel Chomutova, je v zájmu zvýšení flexibility zaměstnaných i nezaměstnaných, </w:t>
      </w:r>
      <w:r>
        <w:rPr>
          <w:rFonts w:cs="Arial"/>
          <w:sz w:val="22"/>
          <w:szCs w:val="22"/>
        </w:rPr>
        <w:br/>
      </w:r>
      <w:r w:rsidRPr="00FC5286">
        <w:rPr>
          <w:rFonts w:cs="Arial"/>
          <w:sz w:val="22"/>
          <w:szCs w:val="22"/>
        </w:rPr>
        <w:t xml:space="preserve">dle potřeby trhu práce nutností podporovat rozvoj různých forem celoživotního vzdělávání, kvalifikačních kurzů, rekvalifikačních kurzů zejména v místních vzdělávacích institucích, poskytujících požadované standardy. </w:t>
      </w:r>
    </w:p>
    <w:p w:rsidR="00A64035" w:rsidRDefault="00A64035" w:rsidP="00A64035">
      <w:pPr>
        <w:spacing w:line="276" w:lineRule="auto"/>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Default="00A64035" w:rsidP="00A64035">
      <w:pPr>
        <w:spacing w:line="276" w:lineRule="auto"/>
        <w:jc w:val="both"/>
        <w:rPr>
          <w:rFonts w:cs="Arial"/>
          <w:sz w:val="22"/>
          <w:szCs w:val="22"/>
        </w:rPr>
      </w:pPr>
    </w:p>
    <w:p w:rsidR="00A64035" w:rsidRPr="00FC5286" w:rsidRDefault="00A64035" w:rsidP="00A64035">
      <w:pPr>
        <w:spacing w:line="276" w:lineRule="auto"/>
        <w:jc w:val="both"/>
        <w:rPr>
          <w:rFonts w:cs="Arial"/>
          <w:sz w:val="22"/>
          <w:szCs w:val="22"/>
        </w:rPr>
      </w:pPr>
    </w:p>
    <w:p w:rsidR="00A64035" w:rsidRPr="00FC5286" w:rsidRDefault="00A64035" w:rsidP="00A6403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2037"/>
        <w:gridCol w:w="1806"/>
        <w:gridCol w:w="1777"/>
      </w:tblGrid>
      <w:tr w:rsidR="00A64035" w:rsidRPr="00FC5286" w:rsidTr="0075074A">
        <w:tc>
          <w:tcPr>
            <w:tcW w:w="4032" w:type="dxa"/>
            <w:shd w:val="clear" w:color="auto" w:fill="auto"/>
          </w:tcPr>
          <w:p w:rsidR="00A64035" w:rsidRPr="002A67E9" w:rsidRDefault="00A64035" w:rsidP="0075074A">
            <w:pPr>
              <w:rPr>
                <w:rFonts w:cs="Arial"/>
                <w:b/>
                <w:sz w:val="22"/>
                <w:szCs w:val="22"/>
              </w:rPr>
            </w:pPr>
            <w:r w:rsidRPr="002A67E9">
              <w:rPr>
                <w:rFonts w:cs="Arial"/>
                <w:b/>
                <w:sz w:val="22"/>
                <w:szCs w:val="22"/>
              </w:rPr>
              <w:t>KONCEPČNÍ CÍLE</w:t>
            </w:r>
          </w:p>
        </w:tc>
        <w:tc>
          <w:tcPr>
            <w:tcW w:w="2103" w:type="dxa"/>
            <w:shd w:val="clear" w:color="auto" w:fill="auto"/>
          </w:tcPr>
          <w:p w:rsidR="00A64035" w:rsidRPr="002A67E9" w:rsidRDefault="00A64035" w:rsidP="0075074A">
            <w:pPr>
              <w:rPr>
                <w:rFonts w:cs="Arial"/>
                <w:b/>
                <w:sz w:val="22"/>
                <w:szCs w:val="22"/>
              </w:rPr>
            </w:pPr>
            <w:r w:rsidRPr="002A67E9">
              <w:rPr>
                <w:rFonts w:cs="Arial"/>
                <w:b/>
                <w:sz w:val="22"/>
                <w:szCs w:val="22"/>
              </w:rPr>
              <w:t>Garant</w:t>
            </w:r>
          </w:p>
        </w:tc>
        <w:tc>
          <w:tcPr>
            <w:tcW w:w="1601" w:type="dxa"/>
            <w:shd w:val="clear" w:color="auto" w:fill="auto"/>
          </w:tcPr>
          <w:p w:rsidR="00A64035" w:rsidRPr="002A67E9" w:rsidRDefault="00A64035" w:rsidP="0075074A">
            <w:pPr>
              <w:rPr>
                <w:rFonts w:cs="Arial"/>
                <w:b/>
                <w:sz w:val="22"/>
                <w:szCs w:val="22"/>
              </w:rPr>
            </w:pPr>
            <w:r w:rsidRPr="002A67E9">
              <w:rPr>
                <w:rFonts w:cs="Arial"/>
                <w:b/>
                <w:sz w:val="22"/>
                <w:szCs w:val="22"/>
              </w:rPr>
              <w:t>Zdroj dat/sumarizace</w:t>
            </w:r>
          </w:p>
        </w:tc>
        <w:tc>
          <w:tcPr>
            <w:tcW w:w="1552" w:type="dxa"/>
            <w:shd w:val="clear" w:color="auto" w:fill="auto"/>
          </w:tcPr>
          <w:p w:rsidR="00A64035" w:rsidRPr="002A67E9" w:rsidRDefault="00A64035" w:rsidP="0075074A">
            <w:pPr>
              <w:rPr>
                <w:rFonts w:cs="Arial"/>
                <w:b/>
                <w:sz w:val="22"/>
                <w:szCs w:val="22"/>
              </w:rPr>
            </w:pPr>
            <w:r w:rsidRPr="002A67E9">
              <w:rPr>
                <w:rFonts w:cs="Arial"/>
                <w:b/>
                <w:sz w:val="22"/>
                <w:szCs w:val="22"/>
              </w:rPr>
              <w:t>Indikátor</w:t>
            </w:r>
          </w:p>
        </w:tc>
      </w:tr>
      <w:tr w:rsidR="00A64035" w:rsidRPr="00FC5286" w:rsidTr="0075074A">
        <w:tc>
          <w:tcPr>
            <w:tcW w:w="4032" w:type="dxa"/>
            <w:shd w:val="clear" w:color="auto" w:fill="auto"/>
          </w:tcPr>
          <w:p w:rsidR="00A64035" w:rsidRPr="00FC5286" w:rsidRDefault="00A64035" w:rsidP="0075074A">
            <w:pPr>
              <w:rPr>
                <w:rFonts w:cs="Arial"/>
                <w:sz w:val="22"/>
                <w:szCs w:val="22"/>
              </w:rPr>
            </w:pPr>
          </w:p>
        </w:tc>
        <w:tc>
          <w:tcPr>
            <w:tcW w:w="2103" w:type="dxa"/>
            <w:shd w:val="clear" w:color="auto" w:fill="auto"/>
          </w:tcPr>
          <w:p w:rsidR="00A64035" w:rsidRPr="00FC5286" w:rsidRDefault="00A64035" w:rsidP="0075074A">
            <w:pPr>
              <w:rPr>
                <w:rFonts w:cs="Arial"/>
                <w:sz w:val="22"/>
                <w:szCs w:val="22"/>
              </w:rPr>
            </w:pPr>
          </w:p>
        </w:tc>
        <w:tc>
          <w:tcPr>
            <w:tcW w:w="1601" w:type="dxa"/>
            <w:shd w:val="clear" w:color="auto" w:fill="auto"/>
          </w:tcPr>
          <w:p w:rsidR="00A64035" w:rsidRPr="00FC5286" w:rsidRDefault="00A64035" w:rsidP="0075074A">
            <w:pPr>
              <w:rPr>
                <w:rFonts w:cs="Arial"/>
                <w:sz w:val="22"/>
                <w:szCs w:val="22"/>
              </w:rPr>
            </w:pPr>
          </w:p>
        </w:tc>
        <w:tc>
          <w:tcPr>
            <w:tcW w:w="1552" w:type="dxa"/>
            <w:shd w:val="clear" w:color="auto" w:fill="auto"/>
          </w:tcPr>
          <w:p w:rsidR="00A64035" w:rsidRPr="00FC5286" w:rsidRDefault="00A64035" w:rsidP="0075074A">
            <w:pPr>
              <w:rPr>
                <w:rFonts w:cs="Arial"/>
                <w:sz w:val="22"/>
                <w:szCs w:val="22"/>
              </w:rPr>
            </w:pPr>
          </w:p>
        </w:tc>
      </w:tr>
      <w:tr w:rsidR="00A64035" w:rsidRPr="00FC5286" w:rsidTr="0075074A">
        <w:tc>
          <w:tcPr>
            <w:tcW w:w="4032" w:type="dxa"/>
            <w:shd w:val="clear" w:color="auto" w:fill="auto"/>
          </w:tcPr>
          <w:p w:rsidR="00A64035" w:rsidRPr="00FC5286" w:rsidRDefault="00A64035" w:rsidP="0075074A">
            <w:pPr>
              <w:rPr>
                <w:rFonts w:cs="Arial"/>
                <w:sz w:val="22"/>
                <w:szCs w:val="22"/>
              </w:rPr>
            </w:pPr>
            <w:r w:rsidRPr="00FC5286">
              <w:rPr>
                <w:rFonts w:cs="Arial"/>
                <w:sz w:val="22"/>
                <w:szCs w:val="22"/>
              </w:rPr>
              <w:t>Usilovat o strukturu vzdělávací nabídky v souladu s potřebami chomutovského regionu</w:t>
            </w:r>
          </w:p>
        </w:tc>
        <w:tc>
          <w:tcPr>
            <w:tcW w:w="2103" w:type="dxa"/>
            <w:shd w:val="clear" w:color="auto" w:fill="auto"/>
          </w:tcPr>
          <w:p w:rsidR="00A64035" w:rsidRPr="00FC5286" w:rsidRDefault="00A64035" w:rsidP="0075074A">
            <w:pPr>
              <w:rPr>
                <w:rFonts w:cs="Arial"/>
                <w:color w:val="FF0000"/>
                <w:sz w:val="22"/>
                <w:szCs w:val="22"/>
              </w:rPr>
            </w:pPr>
            <w:r>
              <w:rPr>
                <w:rFonts w:cs="Arial"/>
                <w:sz w:val="22"/>
                <w:szCs w:val="22"/>
              </w:rPr>
              <w:t>č</w:t>
            </w:r>
            <w:r w:rsidRPr="00FC5286">
              <w:rPr>
                <w:rFonts w:cs="Arial"/>
                <w:sz w:val="22"/>
                <w:szCs w:val="22"/>
              </w:rPr>
              <w:t>lenové Z</w:t>
            </w:r>
            <w:r>
              <w:rPr>
                <w:rFonts w:cs="Arial"/>
                <w:sz w:val="22"/>
                <w:szCs w:val="22"/>
              </w:rPr>
              <w:t xml:space="preserve">SMCH </w:t>
            </w:r>
            <w:r w:rsidRPr="00FC5286">
              <w:rPr>
                <w:rFonts w:cs="Arial"/>
                <w:sz w:val="22"/>
                <w:szCs w:val="22"/>
              </w:rPr>
              <w:t>působící v orgánech Ústeckého</w:t>
            </w:r>
            <w:r>
              <w:rPr>
                <w:rFonts w:cs="Arial"/>
                <w:sz w:val="22"/>
                <w:szCs w:val="22"/>
              </w:rPr>
              <w:t xml:space="preserve"> </w:t>
            </w:r>
            <w:r w:rsidRPr="00FC5286">
              <w:rPr>
                <w:rFonts w:cs="Arial"/>
                <w:sz w:val="22"/>
                <w:szCs w:val="22"/>
              </w:rPr>
              <w:t>kraje</w:t>
            </w:r>
            <w:r>
              <w:rPr>
                <w:rFonts w:cs="Arial"/>
                <w:sz w:val="22"/>
                <w:szCs w:val="22"/>
              </w:rPr>
              <w:t>/</w:t>
            </w:r>
            <w:r w:rsidRPr="00FC5286">
              <w:rPr>
                <w:rFonts w:cs="Arial"/>
                <w:sz w:val="22"/>
                <w:szCs w:val="22"/>
              </w:rPr>
              <w:t xml:space="preserve">sociální partneři </w:t>
            </w:r>
          </w:p>
        </w:tc>
        <w:tc>
          <w:tcPr>
            <w:tcW w:w="1601" w:type="dxa"/>
            <w:shd w:val="clear" w:color="auto" w:fill="auto"/>
          </w:tcPr>
          <w:p w:rsidR="00A64035" w:rsidRPr="00FC5286" w:rsidRDefault="00A64035" w:rsidP="0075074A">
            <w:pPr>
              <w:rPr>
                <w:rFonts w:cs="Arial"/>
                <w:sz w:val="22"/>
                <w:szCs w:val="22"/>
              </w:rPr>
            </w:pPr>
            <w:r>
              <w:rPr>
                <w:rFonts w:cs="Arial"/>
                <w:sz w:val="22"/>
                <w:szCs w:val="22"/>
              </w:rPr>
              <w:t>školy</w:t>
            </w:r>
            <w:r w:rsidRPr="00FC5286">
              <w:rPr>
                <w:rFonts w:cs="Arial"/>
                <w:sz w:val="22"/>
                <w:szCs w:val="22"/>
              </w:rPr>
              <w:t>/VVVZ</w:t>
            </w:r>
          </w:p>
        </w:tc>
        <w:tc>
          <w:tcPr>
            <w:tcW w:w="1552" w:type="dxa"/>
            <w:shd w:val="clear" w:color="auto" w:fill="auto"/>
          </w:tcPr>
          <w:p w:rsidR="00A64035" w:rsidRPr="00FC5286" w:rsidRDefault="00A64035" w:rsidP="0075074A">
            <w:pPr>
              <w:rPr>
                <w:rFonts w:cs="Arial"/>
                <w:sz w:val="22"/>
                <w:szCs w:val="22"/>
              </w:rPr>
            </w:pPr>
            <w:r w:rsidRPr="00FC5286">
              <w:rPr>
                <w:rFonts w:cs="Arial"/>
                <w:sz w:val="22"/>
                <w:szCs w:val="22"/>
              </w:rPr>
              <w:t>Meziroční % vývoj ve struktuře</w:t>
            </w:r>
          </w:p>
        </w:tc>
      </w:tr>
      <w:tr w:rsidR="00A64035" w:rsidRPr="00FC5286" w:rsidTr="0075074A">
        <w:tc>
          <w:tcPr>
            <w:tcW w:w="4032" w:type="dxa"/>
            <w:shd w:val="clear" w:color="auto" w:fill="auto"/>
          </w:tcPr>
          <w:p w:rsidR="00A64035" w:rsidRPr="00FC5286" w:rsidRDefault="00A64035" w:rsidP="0075074A">
            <w:pPr>
              <w:rPr>
                <w:rFonts w:cs="Arial"/>
                <w:sz w:val="22"/>
                <w:szCs w:val="22"/>
              </w:rPr>
            </w:pPr>
          </w:p>
        </w:tc>
        <w:tc>
          <w:tcPr>
            <w:tcW w:w="2103" w:type="dxa"/>
            <w:shd w:val="clear" w:color="auto" w:fill="auto"/>
          </w:tcPr>
          <w:p w:rsidR="00A64035" w:rsidRPr="00FC5286" w:rsidRDefault="00A64035" w:rsidP="0075074A">
            <w:pPr>
              <w:rPr>
                <w:rFonts w:cs="Arial"/>
                <w:sz w:val="22"/>
                <w:szCs w:val="22"/>
              </w:rPr>
            </w:pPr>
          </w:p>
        </w:tc>
        <w:tc>
          <w:tcPr>
            <w:tcW w:w="1601" w:type="dxa"/>
            <w:shd w:val="clear" w:color="auto" w:fill="auto"/>
          </w:tcPr>
          <w:p w:rsidR="00A64035" w:rsidRPr="00FC5286" w:rsidRDefault="00A64035" w:rsidP="0075074A">
            <w:pPr>
              <w:rPr>
                <w:rFonts w:cs="Arial"/>
                <w:sz w:val="22"/>
                <w:szCs w:val="22"/>
              </w:rPr>
            </w:pPr>
          </w:p>
        </w:tc>
        <w:tc>
          <w:tcPr>
            <w:tcW w:w="1552" w:type="dxa"/>
            <w:shd w:val="clear" w:color="auto" w:fill="auto"/>
          </w:tcPr>
          <w:p w:rsidR="00A64035" w:rsidRPr="00FC5286" w:rsidRDefault="00A64035" w:rsidP="0075074A">
            <w:pPr>
              <w:rPr>
                <w:rFonts w:cs="Arial"/>
                <w:sz w:val="22"/>
                <w:szCs w:val="22"/>
              </w:rPr>
            </w:pPr>
          </w:p>
        </w:tc>
      </w:tr>
      <w:tr w:rsidR="00A64035" w:rsidRPr="00FC5286" w:rsidTr="0075074A">
        <w:tc>
          <w:tcPr>
            <w:tcW w:w="4032" w:type="dxa"/>
            <w:shd w:val="clear" w:color="auto" w:fill="auto"/>
          </w:tcPr>
          <w:p w:rsidR="00A64035" w:rsidRPr="00FC5286" w:rsidRDefault="00A64035" w:rsidP="0075074A">
            <w:pPr>
              <w:rPr>
                <w:rFonts w:cs="Arial"/>
                <w:bCs/>
                <w:sz w:val="22"/>
                <w:szCs w:val="22"/>
              </w:rPr>
            </w:pPr>
            <w:r w:rsidRPr="00FC5286">
              <w:rPr>
                <w:rFonts w:cs="Arial"/>
                <w:sz w:val="22"/>
                <w:szCs w:val="22"/>
              </w:rPr>
              <w:t>Napomáhat v přípravě vzdělávacích programů ke spolupráci se zaměstnavateli v regionu</w:t>
            </w:r>
          </w:p>
          <w:p w:rsidR="00A64035" w:rsidRPr="00FC5286" w:rsidRDefault="00A64035" w:rsidP="0075074A">
            <w:pPr>
              <w:rPr>
                <w:rFonts w:cs="Arial"/>
                <w:sz w:val="22"/>
                <w:szCs w:val="22"/>
              </w:rPr>
            </w:pPr>
          </w:p>
        </w:tc>
        <w:tc>
          <w:tcPr>
            <w:tcW w:w="2103" w:type="dxa"/>
            <w:shd w:val="clear" w:color="auto" w:fill="auto"/>
          </w:tcPr>
          <w:p w:rsidR="00A64035" w:rsidRPr="00FC5286" w:rsidRDefault="00A64035" w:rsidP="0075074A">
            <w:pPr>
              <w:rPr>
                <w:rFonts w:cs="Arial"/>
                <w:sz w:val="22"/>
                <w:szCs w:val="22"/>
              </w:rPr>
            </w:pPr>
            <w:r>
              <w:rPr>
                <w:rFonts w:cs="Arial"/>
                <w:sz w:val="22"/>
                <w:szCs w:val="22"/>
              </w:rPr>
              <w:t>Z</w:t>
            </w:r>
            <w:r w:rsidRPr="00FC5286">
              <w:rPr>
                <w:rFonts w:cs="Arial"/>
                <w:sz w:val="22"/>
                <w:szCs w:val="22"/>
              </w:rPr>
              <w:t>SMCH</w:t>
            </w:r>
            <w:r>
              <w:rPr>
                <w:rFonts w:cs="Arial"/>
                <w:sz w:val="22"/>
                <w:szCs w:val="22"/>
              </w:rPr>
              <w:t>/</w:t>
            </w:r>
            <w:r w:rsidRPr="00FC5286">
              <w:rPr>
                <w:rFonts w:cs="Arial"/>
                <w:sz w:val="22"/>
                <w:szCs w:val="22"/>
              </w:rPr>
              <w:t>VVVZ</w:t>
            </w:r>
          </w:p>
        </w:tc>
        <w:tc>
          <w:tcPr>
            <w:tcW w:w="1601" w:type="dxa"/>
            <w:shd w:val="clear" w:color="auto" w:fill="auto"/>
          </w:tcPr>
          <w:p w:rsidR="00A64035" w:rsidRPr="00FC5286" w:rsidRDefault="00A64035" w:rsidP="0075074A">
            <w:pPr>
              <w:rPr>
                <w:rFonts w:cs="Arial"/>
                <w:sz w:val="22"/>
                <w:szCs w:val="22"/>
              </w:rPr>
            </w:pPr>
            <w:r w:rsidRPr="00FC5286">
              <w:rPr>
                <w:rFonts w:cs="Arial"/>
                <w:sz w:val="22"/>
                <w:szCs w:val="22"/>
              </w:rPr>
              <w:t>VVVZ</w:t>
            </w:r>
            <w:r>
              <w:rPr>
                <w:rFonts w:cs="Arial"/>
                <w:sz w:val="22"/>
                <w:szCs w:val="22"/>
              </w:rPr>
              <w:t>/OŠ MMCH</w:t>
            </w:r>
          </w:p>
        </w:tc>
        <w:tc>
          <w:tcPr>
            <w:tcW w:w="1552" w:type="dxa"/>
            <w:shd w:val="clear" w:color="auto" w:fill="auto"/>
          </w:tcPr>
          <w:p w:rsidR="00A64035" w:rsidRPr="00FC5286" w:rsidRDefault="00A64035" w:rsidP="0075074A">
            <w:pPr>
              <w:rPr>
                <w:rFonts w:cs="Arial"/>
                <w:sz w:val="22"/>
                <w:szCs w:val="22"/>
              </w:rPr>
            </w:pPr>
            <w:r w:rsidRPr="00FC5286">
              <w:rPr>
                <w:rFonts w:cs="Arial"/>
                <w:sz w:val="22"/>
                <w:szCs w:val="22"/>
              </w:rPr>
              <w:t>Meziroční % vývoj kvantifikace akcí</w:t>
            </w:r>
          </w:p>
        </w:tc>
      </w:tr>
      <w:tr w:rsidR="00A64035" w:rsidRPr="00FC5286" w:rsidTr="0075074A">
        <w:tc>
          <w:tcPr>
            <w:tcW w:w="4032" w:type="dxa"/>
            <w:shd w:val="clear" w:color="auto" w:fill="auto"/>
          </w:tcPr>
          <w:p w:rsidR="00A64035" w:rsidRPr="00FC5286" w:rsidRDefault="00A64035" w:rsidP="0075074A">
            <w:pPr>
              <w:jc w:val="both"/>
              <w:rPr>
                <w:rFonts w:cs="Arial"/>
                <w:sz w:val="22"/>
                <w:szCs w:val="22"/>
              </w:rPr>
            </w:pPr>
          </w:p>
        </w:tc>
        <w:tc>
          <w:tcPr>
            <w:tcW w:w="2103" w:type="dxa"/>
            <w:shd w:val="clear" w:color="auto" w:fill="auto"/>
          </w:tcPr>
          <w:p w:rsidR="00A64035" w:rsidRPr="00FC5286" w:rsidRDefault="00A64035" w:rsidP="0075074A">
            <w:pPr>
              <w:rPr>
                <w:rFonts w:cs="Arial"/>
                <w:sz w:val="22"/>
                <w:szCs w:val="22"/>
              </w:rPr>
            </w:pPr>
          </w:p>
        </w:tc>
        <w:tc>
          <w:tcPr>
            <w:tcW w:w="1601" w:type="dxa"/>
            <w:shd w:val="clear" w:color="auto" w:fill="auto"/>
          </w:tcPr>
          <w:p w:rsidR="00A64035" w:rsidRPr="00FC5286" w:rsidRDefault="00A64035" w:rsidP="0075074A">
            <w:pPr>
              <w:rPr>
                <w:rFonts w:cs="Arial"/>
                <w:sz w:val="22"/>
                <w:szCs w:val="22"/>
              </w:rPr>
            </w:pPr>
          </w:p>
        </w:tc>
        <w:tc>
          <w:tcPr>
            <w:tcW w:w="1552" w:type="dxa"/>
            <w:shd w:val="clear" w:color="auto" w:fill="auto"/>
          </w:tcPr>
          <w:p w:rsidR="00A64035" w:rsidRPr="00FC5286" w:rsidRDefault="00A64035" w:rsidP="0075074A">
            <w:pPr>
              <w:rPr>
                <w:rFonts w:cs="Arial"/>
                <w:sz w:val="22"/>
                <w:szCs w:val="22"/>
              </w:rPr>
            </w:pPr>
          </w:p>
        </w:tc>
      </w:tr>
      <w:tr w:rsidR="00A64035" w:rsidRPr="00FC5286" w:rsidTr="0075074A">
        <w:tc>
          <w:tcPr>
            <w:tcW w:w="4032" w:type="dxa"/>
            <w:shd w:val="clear" w:color="auto" w:fill="auto"/>
          </w:tcPr>
          <w:p w:rsidR="00A64035" w:rsidRPr="00FC5286" w:rsidRDefault="00A64035" w:rsidP="0075074A">
            <w:pPr>
              <w:rPr>
                <w:rFonts w:cs="Arial"/>
                <w:bCs/>
                <w:sz w:val="22"/>
                <w:szCs w:val="22"/>
              </w:rPr>
            </w:pPr>
            <w:r w:rsidRPr="00FC5286">
              <w:rPr>
                <w:rFonts w:cs="Arial"/>
                <w:sz w:val="22"/>
                <w:szCs w:val="22"/>
              </w:rPr>
              <w:t>Podporovat vzdělávací činnosti středních škol zaměřenou na potřeby trhu práce (zvyšování kvalifikace, rekvalifikační vzdělávání, kvalifikační kurzy)</w:t>
            </w:r>
          </w:p>
          <w:p w:rsidR="00A64035" w:rsidRPr="00FC5286" w:rsidRDefault="00A64035" w:rsidP="0075074A">
            <w:pPr>
              <w:rPr>
                <w:rFonts w:cs="Arial"/>
                <w:sz w:val="22"/>
                <w:szCs w:val="22"/>
              </w:rPr>
            </w:pPr>
          </w:p>
        </w:tc>
        <w:tc>
          <w:tcPr>
            <w:tcW w:w="2103" w:type="dxa"/>
            <w:shd w:val="clear" w:color="auto" w:fill="auto"/>
          </w:tcPr>
          <w:p w:rsidR="00A64035" w:rsidRPr="00FC5286" w:rsidRDefault="00A64035" w:rsidP="0075074A">
            <w:pPr>
              <w:rPr>
                <w:rFonts w:cs="Arial"/>
                <w:sz w:val="22"/>
                <w:szCs w:val="22"/>
              </w:rPr>
            </w:pPr>
            <w:r>
              <w:rPr>
                <w:rFonts w:cs="Arial"/>
                <w:sz w:val="22"/>
                <w:szCs w:val="22"/>
              </w:rPr>
              <w:t>Z</w:t>
            </w:r>
            <w:r w:rsidRPr="00FC5286">
              <w:rPr>
                <w:rFonts w:cs="Arial"/>
                <w:sz w:val="22"/>
                <w:szCs w:val="22"/>
              </w:rPr>
              <w:t>SMCH</w:t>
            </w:r>
            <w:r>
              <w:rPr>
                <w:rFonts w:cs="Arial"/>
                <w:sz w:val="22"/>
                <w:szCs w:val="22"/>
              </w:rPr>
              <w:t>/</w:t>
            </w:r>
            <w:r w:rsidRPr="00FC5286">
              <w:rPr>
                <w:rFonts w:cs="Arial"/>
                <w:sz w:val="22"/>
                <w:szCs w:val="22"/>
              </w:rPr>
              <w:t>VVVZ</w:t>
            </w:r>
            <w:r>
              <w:rPr>
                <w:rFonts w:cs="Arial"/>
                <w:sz w:val="22"/>
                <w:szCs w:val="22"/>
              </w:rPr>
              <w:t>/</w:t>
            </w:r>
            <w:r w:rsidRPr="00FC5286">
              <w:rPr>
                <w:rFonts w:cs="Arial"/>
                <w:sz w:val="22"/>
                <w:szCs w:val="22"/>
              </w:rPr>
              <w:t xml:space="preserve"> OŠMT</w:t>
            </w:r>
          </w:p>
        </w:tc>
        <w:tc>
          <w:tcPr>
            <w:tcW w:w="1601" w:type="dxa"/>
            <w:shd w:val="clear" w:color="auto" w:fill="auto"/>
          </w:tcPr>
          <w:p w:rsidR="00A64035" w:rsidRPr="00FC5286" w:rsidRDefault="00A64035" w:rsidP="0075074A">
            <w:pPr>
              <w:rPr>
                <w:rFonts w:cs="Arial"/>
                <w:sz w:val="22"/>
                <w:szCs w:val="22"/>
              </w:rPr>
            </w:pPr>
            <w:r w:rsidRPr="00FC5286">
              <w:rPr>
                <w:rFonts w:cs="Arial"/>
                <w:sz w:val="22"/>
                <w:szCs w:val="22"/>
              </w:rPr>
              <w:t>Kontaktní pracoviště ÚP CV,</w:t>
            </w:r>
            <w:r>
              <w:rPr>
                <w:rFonts w:cs="Arial"/>
                <w:sz w:val="22"/>
                <w:szCs w:val="22"/>
              </w:rPr>
              <w:t xml:space="preserve"> školy</w:t>
            </w:r>
            <w:r w:rsidRPr="00FC5286">
              <w:rPr>
                <w:rFonts w:cs="Arial"/>
                <w:sz w:val="22"/>
                <w:szCs w:val="22"/>
              </w:rPr>
              <w:t>/VVVZ</w:t>
            </w:r>
          </w:p>
        </w:tc>
        <w:tc>
          <w:tcPr>
            <w:tcW w:w="1552" w:type="dxa"/>
            <w:shd w:val="clear" w:color="auto" w:fill="auto"/>
          </w:tcPr>
          <w:p w:rsidR="00A64035" w:rsidRPr="00FC5286" w:rsidRDefault="00A64035" w:rsidP="0075074A">
            <w:pPr>
              <w:rPr>
                <w:rFonts w:cs="Arial"/>
                <w:sz w:val="22"/>
                <w:szCs w:val="22"/>
              </w:rPr>
            </w:pPr>
            <w:r w:rsidRPr="00FC5286">
              <w:rPr>
                <w:rFonts w:cs="Arial"/>
                <w:sz w:val="22"/>
                <w:szCs w:val="22"/>
              </w:rPr>
              <w:t>Meziroční % vývoj v počtu</w:t>
            </w:r>
          </w:p>
        </w:tc>
      </w:tr>
      <w:tr w:rsidR="00A64035" w:rsidRPr="00FC5286" w:rsidTr="0075074A">
        <w:tc>
          <w:tcPr>
            <w:tcW w:w="4032" w:type="dxa"/>
            <w:shd w:val="clear" w:color="auto" w:fill="auto"/>
          </w:tcPr>
          <w:p w:rsidR="00A64035" w:rsidRPr="00FC5286" w:rsidRDefault="00A64035" w:rsidP="0075074A">
            <w:pPr>
              <w:rPr>
                <w:rFonts w:cs="Arial"/>
                <w:bCs/>
                <w:sz w:val="22"/>
                <w:szCs w:val="22"/>
              </w:rPr>
            </w:pPr>
            <w:r w:rsidRPr="00FC5286">
              <w:rPr>
                <w:rFonts w:cs="Arial"/>
                <w:sz w:val="22"/>
                <w:szCs w:val="22"/>
              </w:rPr>
              <w:t>Podporovat terciární vzdělávání v Chomutově, zejména propagačně</w:t>
            </w:r>
          </w:p>
          <w:p w:rsidR="00A64035" w:rsidRPr="00FC5286" w:rsidRDefault="00A64035" w:rsidP="0075074A">
            <w:pPr>
              <w:rPr>
                <w:rFonts w:cs="Arial"/>
                <w:sz w:val="22"/>
                <w:szCs w:val="22"/>
              </w:rPr>
            </w:pPr>
          </w:p>
        </w:tc>
        <w:tc>
          <w:tcPr>
            <w:tcW w:w="2103" w:type="dxa"/>
            <w:shd w:val="clear" w:color="auto" w:fill="auto"/>
          </w:tcPr>
          <w:p w:rsidR="00A64035" w:rsidRPr="00FC5286" w:rsidRDefault="00A64035" w:rsidP="0075074A">
            <w:pPr>
              <w:rPr>
                <w:rFonts w:cs="Arial"/>
                <w:sz w:val="22"/>
                <w:szCs w:val="22"/>
              </w:rPr>
            </w:pPr>
            <w:r w:rsidRPr="00FC5286">
              <w:rPr>
                <w:rFonts w:cs="Arial"/>
                <w:sz w:val="22"/>
                <w:szCs w:val="22"/>
              </w:rPr>
              <w:t>ZSMCH</w:t>
            </w:r>
            <w:r>
              <w:rPr>
                <w:rFonts w:cs="Arial"/>
                <w:sz w:val="22"/>
                <w:szCs w:val="22"/>
              </w:rPr>
              <w:t>/</w:t>
            </w:r>
            <w:r w:rsidRPr="00FC5286">
              <w:rPr>
                <w:rFonts w:cs="Arial"/>
                <w:sz w:val="22"/>
                <w:szCs w:val="22"/>
              </w:rPr>
              <w:t>VVVZ</w:t>
            </w:r>
            <w:r>
              <w:rPr>
                <w:rFonts w:cs="Arial"/>
                <w:sz w:val="22"/>
                <w:szCs w:val="22"/>
              </w:rPr>
              <w:t>/</w:t>
            </w:r>
            <w:r w:rsidRPr="00FC5286">
              <w:rPr>
                <w:rFonts w:cs="Arial"/>
                <w:sz w:val="22"/>
                <w:szCs w:val="22"/>
              </w:rPr>
              <w:t xml:space="preserve"> OŠMT</w:t>
            </w:r>
          </w:p>
        </w:tc>
        <w:tc>
          <w:tcPr>
            <w:tcW w:w="1601" w:type="dxa"/>
            <w:shd w:val="clear" w:color="auto" w:fill="auto"/>
          </w:tcPr>
          <w:p w:rsidR="00A64035" w:rsidRPr="00FC5286" w:rsidRDefault="00A64035" w:rsidP="0075074A">
            <w:pPr>
              <w:rPr>
                <w:rFonts w:cs="Arial"/>
                <w:sz w:val="22"/>
                <w:szCs w:val="22"/>
              </w:rPr>
            </w:pPr>
            <w:r>
              <w:rPr>
                <w:rFonts w:cs="Arial"/>
                <w:sz w:val="22"/>
                <w:szCs w:val="22"/>
              </w:rPr>
              <w:t>Školy/</w:t>
            </w:r>
            <w:r w:rsidRPr="00FC5286">
              <w:rPr>
                <w:rFonts w:cs="Arial"/>
                <w:sz w:val="22"/>
                <w:szCs w:val="22"/>
              </w:rPr>
              <w:t>VVVZ</w:t>
            </w:r>
          </w:p>
        </w:tc>
        <w:tc>
          <w:tcPr>
            <w:tcW w:w="1552" w:type="dxa"/>
            <w:shd w:val="clear" w:color="auto" w:fill="auto"/>
          </w:tcPr>
          <w:p w:rsidR="00A64035" w:rsidRPr="00FC5286" w:rsidRDefault="00A64035" w:rsidP="0075074A">
            <w:pPr>
              <w:rPr>
                <w:rFonts w:cs="Arial"/>
                <w:sz w:val="22"/>
                <w:szCs w:val="22"/>
              </w:rPr>
            </w:pPr>
            <w:r w:rsidRPr="00FC5286">
              <w:rPr>
                <w:rFonts w:cs="Arial"/>
                <w:sz w:val="22"/>
                <w:szCs w:val="22"/>
              </w:rPr>
              <w:t>Meziroční % vývoj kvalifikovaným odhadem</w:t>
            </w:r>
          </w:p>
        </w:tc>
      </w:tr>
      <w:tr w:rsidR="00A64035" w:rsidRPr="00FC5286" w:rsidTr="0075074A">
        <w:tc>
          <w:tcPr>
            <w:tcW w:w="4032" w:type="dxa"/>
            <w:shd w:val="clear" w:color="auto" w:fill="auto"/>
          </w:tcPr>
          <w:p w:rsidR="00A64035" w:rsidRPr="00FC5286" w:rsidRDefault="00A64035" w:rsidP="0075074A">
            <w:pPr>
              <w:rPr>
                <w:rFonts w:cs="Arial"/>
                <w:sz w:val="22"/>
                <w:szCs w:val="22"/>
              </w:rPr>
            </w:pPr>
          </w:p>
        </w:tc>
        <w:tc>
          <w:tcPr>
            <w:tcW w:w="2103" w:type="dxa"/>
            <w:shd w:val="clear" w:color="auto" w:fill="auto"/>
          </w:tcPr>
          <w:p w:rsidR="00A64035" w:rsidRPr="00FC5286" w:rsidRDefault="00A64035" w:rsidP="0075074A">
            <w:pPr>
              <w:rPr>
                <w:rFonts w:cs="Arial"/>
                <w:sz w:val="22"/>
                <w:szCs w:val="22"/>
              </w:rPr>
            </w:pPr>
          </w:p>
        </w:tc>
        <w:tc>
          <w:tcPr>
            <w:tcW w:w="1601" w:type="dxa"/>
            <w:shd w:val="clear" w:color="auto" w:fill="auto"/>
          </w:tcPr>
          <w:p w:rsidR="00A64035" w:rsidRPr="00FC5286" w:rsidRDefault="00A64035" w:rsidP="0075074A">
            <w:pPr>
              <w:rPr>
                <w:rFonts w:cs="Arial"/>
                <w:sz w:val="22"/>
                <w:szCs w:val="22"/>
              </w:rPr>
            </w:pPr>
          </w:p>
        </w:tc>
        <w:tc>
          <w:tcPr>
            <w:tcW w:w="1552" w:type="dxa"/>
            <w:shd w:val="clear" w:color="auto" w:fill="auto"/>
          </w:tcPr>
          <w:p w:rsidR="00A64035" w:rsidRPr="00FC5286" w:rsidRDefault="00A64035" w:rsidP="0075074A">
            <w:pPr>
              <w:rPr>
                <w:rFonts w:cs="Arial"/>
                <w:sz w:val="22"/>
                <w:szCs w:val="22"/>
              </w:rPr>
            </w:pPr>
          </w:p>
        </w:tc>
      </w:tr>
      <w:tr w:rsidR="00A64035" w:rsidRPr="00FC5286" w:rsidTr="0075074A">
        <w:tc>
          <w:tcPr>
            <w:tcW w:w="4032" w:type="dxa"/>
            <w:shd w:val="clear" w:color="auto" w:fill="auto"/>
          </w:tcPr>
          <w:p w:rsidR="00A64035" w:rsidRPr="00FC5286" w:rsidRDefault="00A64035" w:rsidP="0075074A">
            <w:pPr>
              <w:rPr>
                <w:rFonts w:cs="Arial"/>
                <w:sz w:val="22"/>
                <w:szCs w:val="22"/>
              </w:rPr>
            </w:pPr>
            <w:r w:rsidRPr="00FC5286">
              <w:rPr>
                <w:rFonts w:cs="Arial"/>
                <w:sz w:val="22"/>
                <w:szCs w:val="22"/>
              </w:rPr>
              <w:t>Sledovat uplatnitelnost absolventů na trhu práce</w:t>
            </w:r>
          </w:p>
        </w:tc>
        <w:tc>
          <w:tcPr>
            <w:tcW w:w="2103" w:type="dxa"/>
            <w:shd w:val="clear" w:color="auto" w:fill="auto"/>
          </w:tcPr>
          <w:p w:rsidR="00A64035" w:rsidRPr="00FC5286" w:rsidRDefault="00A64035" w:rsidP="0075074A">
            <w:pPr>
              <w:rPr>
                <w:rFonts w:cs="Arial"/>
                <w:sz w:val="22"/>
                <w:szCs w:val="22"/>
              </w:rPr>
            </w:pPr>
            <w:r w:rsidRPr="00FC5286">
              <w:rPr>
                <w:rFonts w:cs="Arial"/>
                <w:sz w:val="22"/>
                <w:szCs w:val="22"/>
              </w:rPr>
              <w:t>VVVZ</w:t>
            </w:r>
            <w:r>
              <w:rPr>
                <w:rFonts w:cs="Arial"/>
                <w:sz w:val="22"/>
                <w:szCs w:val="22"/>
              </w:rPr>
              <w:t>/</w:t>
            </w:r>
            <w:r w:rsidRPr="00FC5286">
              <w:rPr>
                <w:rFonts w:cs="Arial"/>
                <w:sz w:val="22"/>
                <w:szCs w:val="22"/>
              </w:rPr>
              <w:t>OŠMT</w:t>
            </w:r>
          </w:p>
        </w:tc>
        <w:tc>
          <w:tcPr>
            <w:tcW w:w="1601" w:type="dxa"/>
            <w:shd w:val="clear" w:color="auto" w:fill="auto"/>
          </w:tcPr>
          <w:p w:rsidR="00A64035" w:rsidRPr="00FC5286" w:rsidRDefault="00A64035" w:rsidP="0075074A">
            <w:pPr>
              <w:rPr>
                <w:rFonts w:cs="Arial"/>
                <w:sz w:val="22"/>
                <w:szCs w:val="22"/>
              </w:rPr>
            </w:pPr>
            <w:r w:rsidRPr="00FC5286">
              <w:rPr>
                <w:rFonts w:cs="Arial"/>
                <w:sz w:val="22"/>
                <w:szCs w:val="22"/>
              </w:rPr>
              <w:t>Kontaktní pracoviště ÚP CV/VVVZ</w:t>
            </w:r>
          </w:p>
        </w:tc>
        <w:tc>
          <w:tcPr>
            <w:tcW w:w="1552" w:type="dxa"/>
            <w:shd w:val="clear" w:color="auto" w:fill="auto"/>
          </w:tcPr>
          <w:p w:rsidR="00A64035" w:rsidRPr="00FC5286" w:rsidRDefault="00A64035" w:rsidP="0075074A">
            <w:pPr>
              <w:rPr>
                <w:rFonts w:cs="Arial"/>
                <w:sz w:val="22"/>
                <w:szCs w:val="22"/>
              </w:rPr>
            </w:pPr>
            <w:r w:rsidRPr="00FC5286">
              <w:rPr>
                <w:rFonts w:cs="Arial"/>
                <w:sz w:val="22"/>
                <w:szCs w:val="22"/>
              </w:rPr>
              <w:t>Meziroční % vývoj</w:t>
            </w:r>
          </w:p>
        </w:tc>
      </w:tr>
      <w:tr w:rsidR="00A64035" w:rsidRPr="00FC5286" w:rsidTr="0075074A">
        <w:tc>
          <w:tcPr>
            <w:tcW w:w="4032" w:type="dxa"/>
            <w:shd w:val="clear" w:color="auto" w:fill="auto"/>
          </w:tcPr>
          <w:p w:rsidR="00A64035" w:rsidRPr="00FC5286" w:rsidRDefault="00A64035" w:rsidP="0075074A">
            <w:pPr>
              <w:rPr>
                <w:rFonts w:cs="Arial"/>
                <w:sz w:val="22"/>
                <w:szCs w:val="22"/>
              </w:rPr>
            </w:pPr>
          </w:p>
        </w:tc>
        <w:tc>
          <w:tcPr>
            <w:tcW w:w="2103" w:type="dxa"/>
            <w:shd w:val="clear" w:color="auto" w:fill="auto"/>
          </w:tcPr>
          <w:p w:rsidR="00A64035" w:rsidRPr="00FC5286" w:rsidRDefault="00A64035" w:rsidP="0075074A">
            <w:pPr>
              <w:rPr>
                <w:rFonts w:cs="Arial"/>
                <w:sz w:val="22"/>
                <w:szCs w:val="22"/>
              </w:rPr>
            </w:pPr>
          </w:p>
        </w:tc>
        <w:tc>
          <w:tcPr>
            <w:tcW w:w="1601" w:type="dxa"/>
            <w:shd w:val="clear" w:color="auto" w:fill="auto"/>
          </w:tcPr>
          <w:p w:rsidR="00A64035" w:rsidRPr="00FC5286" w:rsidRDefault="00A64035" w:rsidP="0075074A">
            <w:pPr>
              <w:rPr>
                <w:rFonts w:cs="Arial"/>
                <w:sz w:val="22"/>
                <w:szCs w:val="22"/>
              </w:rPr>
            </w:pPr>
          </w:p>
        </w:tc>
        <w:tc>
          <w:tcPr>
            <w:tcW w:w="1552" w:type="dxa"/>
            <w:shd w:val="clear" w:color="auto" w:fill="auto"/>
          </w:tcPr>
          <w:p w:rsidR="00A64035" w:rsidRPr="00FC5286" w:rsidRDefault="00A64035" w:rsidP="0075074A">
            <w:pPr>
              <w:rPr>
                <w:rFonts w:cs="Arial"/>
                <w:sz w:val="22"/>
                <w:szCs w:val="22"/>
              </w:rPr>
            </w:pPr>
          </w:p>
        </w:tc>
      </w:tr>
      <w:tr w:rsidR="00A64035" w:rsidRPr="00FC5286" w:rsidTr="0075074A">
        <w:tc>
          <w:tcPr>
            <w:tcW w:w="4032" w:type="dxa"/>
            <w:shd w:val="clear" w:color="auto" w:fill="auto"/>
          </w:tcPr>
          <w:p w:rsidR="00A64035" w:rsidRPr="00FC5286" w:rsidRDefault="00A64035" w:rsidP="0075074A">
            <w:pPr>
              <w:rPr>
                <w:rFonts w:cs="Arial"/>
                <w:sz w:val="22"/>
                <w:szCs w:val="22"/>
              </w:rPr>
            </w:pPr>
            <w:r w:rsidRPr="00FC5286">
              <w:rPr>
                <w:rFonts w:cs="Arial"/>
                <w:sz w:val="22"/>
                <w:szCs w:val="22"/>
              </w:rPr>
              <w:t xml:space="preserve">Podporovat systémy dalšího vzdělání ve SŠ – všechny formy </w:t>
            </w:r>
          </w:p>
        </w:tc>
        <w:tc>
          <w:tcPr>
            <w:tcW w:w="2103" w:type="dxa"/>
            <w:shd w:val="clear" w:color="auto" w:fill="auto"/>
          </w:tcPr>
          <w:p w:rsidR="00A64035" w:rsidRPr="00FC5286" w:rsidRDefault="00A64035" w:rsidP="0075074A">
            <w:pPr>
              <w:rPr>
                <w:rFonts w:cs="Arial"/>
                <w:sz w:val="22"/>
                <w:szCs w:val="22"/>
              </w:rPr>
            </w:pPr>
            <w:r w:rsidRPr="00FC5286">
              <w:rPr>
                <w:rFonts w:cs="Arial"/>
                <w:sz w:val="22"/>
                <w:szCs w:val="22"/>
              </w:rPr>
              <w:t xml:space="preserve">Členové </w:t>
            </w:r>
            <w:r>
              <w:rPr>
                <w:rFonts w:cs="Arial"/>
                <w:sz w:val="22"/>
                <w:szCs w:val="22"/>
              </w:rPr>
              <w:t>Z</w:t>
            </w:r>
            <w:r w:rsidRPr="00FC5286">
              <w:rPr>
                <w:rFonts w:cs="Arial"/>
                <w:sz w:val="22"/>
                <w:szCs w:val="22"/>
              </w:rPr>
              <w:t xml:space="preserve">SMCH působící v orgánech Ústeckého kraje a republikových poradních orgánech </w:t>
            </w:r>
          </w:p>
        </w:tc>
        <w:tc>
          <w:tcPr>
            <w:tcW w:w="1601" w:type="dxa"/>
            <w:shd w:val="clear" w:color="auto" w:fill="auto"/>
          </w:tcPr>
          <w:p w:rsidR="00A64035" w:rsidRPr="00FC5286" w:rsidRDefault="00A64035" w:rsidP="0075074A">
            <w:pPr>
              <w:rPr>
                <w:rFonts w:cs="Arial"/>
                <w:sz w:val="22"/>
                <w:szCs w:val="22"/>
              </w:rPr>
            </w:pPr>
            <w:r>
              <w:rPr>
                <w:rFonts w:cs="Arial"/>
                <w:sz w:val="22"/>
                <w:szCs w:val="22"/>
              </w:rPr>
              <w:t>Školy/VVVZ</w:t>
            </w:r>
          </w:p>
        </w:tc>
        <w:tc>
          <w:tcPr>
            <w:tcW w:w="1552" w:type="dxa"/>
            <w:shd w:val="clear" w:color="auto" w:fill="auto"/>
          </w:tcPr>
          <w:p w:rsidR="00A64035" w:rsidRPr="00FC5286" w:rsidRDefault="00A64035" w:rsidP="0075074A">
            <w:pPr>
              <w:rPr>
                <w:rFonts w:cs="Arial"/>
                <w:sz w:val="22"/>
                <w:szCs w:val="22"/>
              </w:rPr>
            </w:pPr>
            <w:r>
              <w:t>Meziroční % vývoj kvalifikovaným odhadem</w:t>
            </w:r>
          </w:p>
        </w:tc>
      </w:tr>
    </w:tbl>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Pr="00FC5286" w:rsidRDefault="00A64035" w:rsidP="00A64035">
      <w:pPr>
        <w:rPr>
          <w:rFonts w:cs="Arial"/>
          <w:sz w:val="22"/>
          <w:szCs w:val="22"/>
        </w:rPr>
      </w:pPr>
    </w:p>
    <w:p w:rsidR="00A64035" w:rsidRPr="00A4194E" w:rsidRDefault="00A64035" w:rsidP="00557F1F">
      <w:pPr>
        <w:pStyle w:val="Nadpis2"/>
        <w:numPr>
          <w:ilvl w:val="1"/>
          <w:numId w:val="3"/>
        </w:numPr>
        <w:rPr>
          <w:szCs w:val="22"/>
        </w:rPr>
      </w:pPr>
      <w:r w:rsidRPr="00A4194E">
        <w:rPr>
          <w:szCs w:val="22"/>
        </w:rPr>
        <w:lastRenderedPageBreak/>
        <w:t>ŠKOLSKÁ PORADENSKÁ ZAŘÍZENÍ</w:t>
      </w:r>
    </w:p>
    <w:p w:rsidR="00A64035" w:rsidRPr="0075074A" w:rsidRDefault="00A64035" w:rsidP="0075074A">
      <w:pPr>
        <w:pStyle w:val="Nadpis3"/>
        <w:rPr>
          <w:b w:val="0"/>
        </w:rPr>
      </w:pPr>
      <w:r w:rsidRPr="0075074A">
        <w:t>Pedagogicko-psychologická poradna Ústeckého kraje a Zařízení pro další vzdělávání pedagogických pracovníků, Teplice, příspěvková organizace</w:t>
      </w:r>
      <w:r w:rsidRPr="0075074A">
        <w:br/>
      </w:r>
      <w:r w:rsidRPr="0075074A">
        <w:rPr>
          <w:b w:val="0"/>
        </w:rPr>
        <w:t xml:space="preserve">PPP Chomutov zajišťuje odbornou péči dětem od tří do devatenácti let. V případě potřeby přijímá klienty, kteří pokračují ve vzdělávání na vyšších odborných školách </w:t>
      </w:r>
      <w:r w:rsidR="0075074A">
        <w:rPr>
          <w:b w:val="0"/>
        </w:rPr>
        <w:br/>
      </w:r>
      <w:r w:rsidRPr="0075074A">
        <w:rPr>
          <w:b w:val="0"/>
        </w:rPr>
        <w:t>a nástavbách. Hlavní náplní činnosti PPP je diagnostika příčin výchovně-vzdělávacích obtíží žáků a studentů, psychologická a speciálně pedagogická pomoc při zvládání těchto obtíží.</w:t>
      </w:r>
    </w:p>
    <w:p w:rsidR="00A64035" w:rsidRPr="0061681D" w:rsidRDefault="00A64035" w:rsidP="00A64035">
      <w:pPr>
        <w:rPr>
          <w:lang w:eastAsia="x-none"/>
        </w:rPr>
      </w:pPr>
    </w:p>
    <w:p w:rsidR="00A64035" w:rsidRPr="00F01BA0" w:rsidRDefault="00A64035" w:rsidP="00557F1F">
      <w:pPr>
        <w:pStyle w:val="Nadpis2"/>
        <w:numPr>
          <w:ilvl w:val="1"/>
          <w:numId w:val="3"/>
        </w:numPr>
      </w:pPr>
      <w:r w:rsidRPr="00F01BA0">
        <w:t xml:space="preserve">ZÁJMOVÉ VZDĚLÁVÁNÍ </w:t>
      </w:r>
    </w:p>
    <w:p w:rsidR="00A64035" w:rsidRPr="00FC5286" w:rsidRDefault="00A64035" w:rsidP="00A64035">
      <w:pPr>
        <w:rPr>
          <w:rFonts w:cs="Arial"/>
          <w:sz w:val="22"/>
          <w:szCs w:val="22"/>
        </w:rPr>
      </w:pPr>
    </w:p>
    <w:p w:rsidR="00A64035" w:rsidRPr="0075074A" w:rsidRDefault="00A64035" w:rsidP="00557F1F">
      <w:pPr>
        <w:numPr>
          <w:ilvl w:val="0"/>
          <w:numId w:val="5"/>
        </w:numPr>
        <w:rPr>
          <w:rFonts w:cs="Arial"/>
          <w:sz w:val="22"/>
          <w:szCs w:val="22"/>
        </w:rPr>
      </w:pPr>
      <w:r w:rsidRPr="0075074A">
        <w:rPr>
          <w:rFonts w:cs="Arial"/>
          <w:b/>
          <w:sz w:val="22"/>
          <w:szCs w:val="22"/>
        </w:rPr>
        <w:t>Základní umělecká škola T. G. Masaryka Chomutov</w:t>
      </w:r>
      <w:r w:rsidRPr="0075074A">
        <w:rPr>
          <w:rFonts w:cs="Arial"/>
          <w:b/>
          <w:sz w:val="22"/>
          <w:szCs w:val="22"/>
        </w:rPr>
        <w:br/>
      </w:r>
      <w:r w:rsidRPr="0075074A">
        <w:rPr>
          <w:rFonts w:cs="Arial"/>
          <w:sz w:val="22"/>
          <w:szCs w:val="22"/>
        </w:rPr>
        <w:t>Základní umělecká škola je v Chomutově od roku 1945. V současné době nabízí hudební obor, taneční obor, výtvarný obor a literárně dramatický obor. K </w:t>
      </w:r>
      <w:proofErr w:type="gramStart"/>
      <w:r w:rsidRPr="0075074A">
        <w:rPr>
          <w:rFonts w:cs="Arial"/>
          <w:sz w:val="22"/>
          <w:szCs w:val="22"/>
        </w:rPr>
        <w:t>30.09.2011</w:t>
      </w:r>
      <w:proofErr w:type="gramEnd"/>
      <w:r w:rsidRPr="0075074A">
        <w:rPr>
          <w:rFonts w:cs="Arial"/>
          <w:sz w:val="22"/>
          <w:szCs w:val="22"/>
        </w:rPr>
        <w:t xml:space="preserve"> </w:t>
      </w:r>
      <w:r w:rsidR="0075074A">
        <w:rPr>
          <w:rFonts w:cs="Arial"/>
          <w:sz w:val="22"/>
          <w:szCs w:val="22"/>
        </w:rPr>
        <w:br/>
      </w:r>
      <w:r w:rsidRPr="0075074A">
        <w:rPr>
          <w:rFonts w:cs="Arial"/>
          <w:sz w:val="22"/>
          <w:szCs w:val="22"/>
        </w:rPr>
        <w:t xml:space="preserve">ji navštěvuje 855 žáků. Na škole je možnost využít vlastního studia. Této skutečnosti využívají především školní soubory. ZUŠ Chomutov výrazně přispívá k reprezentaci statutárního města Chomutov. Školní soubory: Ponticello, Malý houslový soubor, Oklep, </w:t>
      </w:r>
      <w:proofErr w:type="spellStart"/>
      <w:r w:rsidRPr="0075074A">
        <w:rPr>
          <w:rFonts w:cs="Arial"/>
          <w:sz w:val="22"/>
          <w:szCs w:val="22"/>
        </w:rPr>
        <w:t>Tequila</w:t>
      </w:r>
      <w:proofErr w:type="spellEnd"/>
      <w:r w:rsidRPr="0075074A">
        <w:rPr>
          <w:rFonts w:cs="Arial"/>
          <w:sz w:val="22"/>
          <w:szCs w:val="22"/>
        </w:rPr>
        <w:t xml:space="preserve"> Band, </w:t>
      </w:r>
      <w:proofErr w:type="spellStart"/>
      <w:r w:rsidRPr="0075074A">
        <w:rPr>
          <w:rFonts w:cs="Arial"/>
          <w:sz w:val="22"/>
          <w:szCs w:val="22"/>
        </w:rPr>
        <w:t>Dundrdance</w:t>
      </w:r>
      <w:proofErr w:type="spellEnd"/>
      <w:r w:rsidRPr="0075074A">
        <w:rPr>
          <w:rFonts w:cs="Arial"/>
          <w:sz w:val="22"/>
          <w:szCs w:val="22"/>
        </w:rPr>
        <w:t xml:space="preserve">, Pěvecký sbor ZUŠ, </w:t>
      </w:r>
      <w:proofErr w:type="spellStart"/>
      <w:r w:rsidRPr="0075074A">
        <w:rPr>
          <w:rFonts w:cs="Arial"/>
          <w:sz w:val="22"/>
          <w:szCs w:val="22"/>
        </w:rPr>
        <w:t>Tamburo</w:t>
      </w:r>
      <w:proofErr w:type="spellEnd"/>
      <w:r w:rsidRPr="0075074A">
        <w:rPr>
          <w:rFonts w:cs="Arial"/>
          <w:sz w:val="22"/>
          <w:szCs w:val="22"/>
        </w:rPr>
        <w:t xml:space="preserve"> a </w:t>
      </w:r>
      <w:proofErr w:type="spellStart"/>
      <w:r w:rsidRPr="0075074A">
        <w:rPr>
          <w:rFonts w:cs="Arial"/>
          <w:sz w:val="22"/>
          <w:szCs w:val="22"/>
        </w:rPr>
        <w:t>Evergreens</w:t>
      </w:r>
      <w:proofErr w:type="spellEnd"/>
      <w:r w:rsidRPr="0075074A">
        <w:rPr>
          <w:rFonts w:cs="Arial"/>
          <w:sz w:val="22"/>
          <w:szCs w:val="22"/>
        </w:rPr>
        <w:t xml:space="preserve"> vystupují na mnoha městských akcích. Od roku 2010 škola spolupracuje na hudebních projektech s městskou hudební školou v Chemnitz, se saskou Mozartovou společností a s hudební školou z italského </w:t>
      </w:r>
      <w:proofErr w:type="spellStart"/>
      <w:r w:rsidRPr="0075074A">
        <w:rPr>
          <w:rFonts w:cs="Arial"/>
          <w:sz w:val="22"/>
          <w:szCs w:val="22"/>
        </w:rPr>
        <w:t>Roveretta</w:t>
      </w:r>
      <w:proofErr w:type="spellEnd"/>
      <w:r w:rsidRPr="0075074A">
        <w:rPr>
          <w:rFonts w:cs="Arial"/>
          <w:sz w:val="22"/>
          <w:szCs w:val="22"/>
        </w:rPr>
        <w:t>.</w:t>
      </w:r>
    </w:p>
    <w:p w:rsidR="00A64035" w:rsidRPr="00FC5286" w:rsidRDefault="00A64035" w:rsidP="00A64035">
      <w:pPr>
        <w:ind w:left="720"/>
        <w:rPr>
          <w:rFonts w:cs="Arial"/>
          <w:sz w:val="22"/>
          <w:szCs w:val="22"/>
        </w:rPr>
      </w:pPr>
    </w:p>
    <w:p w:rsidR="00A64035" w:rsidRPr="00FC5286" w:rsidRDefault="00A64035" w:rsidP="00557F1F">
      <w:pPr>
        <w:numPr>
          <w:ilvl w:val="0"/>
          <w:numId w:val="5"/>
        </w:numPr>
        <w:rPr>
          <w:rFonts w:cs="Arial"/>
          <w:b/>
          <w:sz w:val="22"/>
          <w:szCs w:val="22"/>
        </w:rPr>
      </w:pPr>
      <w:r w:rsidRPr="00FC5286">
        <w:rPr>
          <w:rFonts w:cs="Arial"/>
          <w:b/>
          <w:sz w:val="22"/>
          <w:szCs w:val="22"/>
        </w:rPr>
        <w:t>Dům dětí a mládeže, Chomutov, Jiráskova 4140, příspěvková organizace</w:t>
      </w:r>
      <w:r w:rsidRPr="00FC5286">
        <w:rPr>
          <w:rFonts w:cs="Arial"/>
          <w:b/>
          <w:sz w:val="22"/>
          <w:szCs w:val="22"/>
        </w:rPr>
        <w:br/>
      </w:r>
      <w:r w:rsidRPr="00FC5286">
        <w:rPr>
          <w:rFonts w:cs="Arial"/>
          <w:sz w:val="22"/>
          <w:szCs w:val="22"/>
        </w:rPr>
        <w:t xml:space="preserve">Dům dětí a mládeže Chomutov, Jiráskova 4140 je příspěvkovou organizací Ústeckého kraje. Sídlí v objektu bývalého učiliště (Jiráskova 4140, 430 03 Chomutov). DDM zajištuje volnočasové aktivity pro děti, žáky, studenty a širokou veřejnost. Mezi základní činnosti patří: pravidelné zájmové útvary a kluby, příležitostná činnost (koncerty, výstavy, soutěže, turnaje…), spontánní aktivity (posilovna, internet, tělocvična, stolní tenis, stolní fotbálek, horo-stěna…), prázdninová činnost – především tábory a ozdravné pobyty, organizace soutěží </w:t>
      </w:r>
      <w:r w:rsidRPr="00FC5286">
        <w:rPr>
          <w:rFonts w:cs="Arial"/>
          <w:sz w:val="22"/>
          <w:szCs w:val="22"/>
        </w:rPr>
        <w:br/>
        <w:t xml:space="preserve">a přehlídek organizovaných MŠMT. </w:t>
      </w: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Pr="00FC5286" w:rsidRDefault="00A64035" w:rsidP="00A64035">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2033"/>
        <w:gridCol w:w="1806"/>
        <w:gridCol w:w="1684"/>
      </w:tblGrid>
      <w:tr w:rsidR="00A64035" w:rsidRPr="00FC5286" w:rsidTr="0075074A">
        <w:tc>
          <w:tcPr>
            <w:tcW w:w="3789" w:type="dxa"/>
            <w:shd w:val="clear" w:color="auto" w:fill="auto"/>
          </w:tcPr>
          <w:p w:rsidR="00A64035" w:rsidRPr="002A67E9" w:rsidRDefault="00A64035" w:rsidP="0075074A">
            <w:pPr>
              <w:rPr>
                <w:rFonts w:cs="Arial"/>
                <w:b/>
                <w:sz w:val="22"/>
                <w:szCs w:val="22"/>
              </w:rPr>
            </w:pPr>
            <w:r w:rsidRPr="002A67E9">
              <w:rPr>
                <w:rFonts w:cs="Arial"/>
                <w:b/>
                <w:sz w:val="22"/>
                <w:szCs w:val="22"/>
              </w:rPr>
              <w:lastRenderedPageBreak/>
              <w:t>KONCEPČNÍ CÍLE</w:t>
            </w:r>
          </w:p>
        </w:tc>
        <w:tc>
          <w:tcPr>
            <w:tcW w:w="2046" w:type="dxa"/>
            <w:shd w:val="clear" w:color="auto" w:fill="auto"/>
          </w:tcPr>
          <w:p w:rsidR="00A64035" w:rsidRPr="002A67E9" w:rsidRDefault="00A64035" w:rsidP="0075074A">
            <w:pPr>
              <w:rPr>
                <w:rFonts w:cs="Arial"/>
                <w:b/>
                <w:sz w:val="22"/>
                <w:szCs w:val="22"/>
              </w:rPr>
            </w:pPr>
            <w:r w:rsidRPr="002A67E9">
              <w:rPr>
                <w:rFonts w:cs="Arial"/>
                <w:b/>
                <w:sz w:val="22"/>
                <w:szCs w:val="22"/>
              </w:rPr>
              <w:t>Garant</w:t>
            </w:r>
          </w:p>
        </w:tc>
        <w:tc>
          <w:tcPr>
            <w:tcW w:w="1806" w:type="dxa"/>
            <w:shd w:val="clear" w:color="auto" w:fill="auto"/>
          </w:tcPr>
          <w:p w:rsidR="00A64035" w:rsidRPr="002A67E9" w:rsidRDefault="00A64035" w:rsidP="0075074A">
            <w:pPr>
              <w:rPr>
                <w:rFonts w:cs="Arial"/>
                <w:b/>
                <w:sz w:val="22"/>
                <w:szCs w:val="22"/>
              </w:rPr>
            </w:pPr>
            <w:r w:rsidRPr="002A67E9">
              <w:rPr>
                <w:rFonts w:cs="Arial"/>
                <w:b/>
                <w:sz w:val="22"/>
                <w:szCs w:val="22"/>
              </w:rPr>
              <w:t>Zdroj dat/sumarizace</w:t>
            </w:r>
          </w:p>
        </w:tc>
        <w:tc>
          <w:tcPr>
            <w:tcW w:w="1647" w:type="dxa"/>
            <w:shd w:val="clear" w:color="auto" w:fill="auto"/>
          </w:tcPr>
          <w:p w:rsidR="00A64035" w:rsidRPr="002A67E9" w:rsidRDefault="00A64035" w:rsidP="0075074A">
            <w:pPr>
              <w:rPr>
                <w:rFonts w:cs="Arial"/>
                <w:b/>
                <w:sz w:val="22"/>
                <w:szCs w:val="22"/>
              </w:rPr>
            </w:pPr>
            <w:r w:rsidRPr="002A67E9">
              <w:rPr>
                <w:rFonts w:cs="Arial"/>
                <w:b/>
                <w:sz w:val="22"/>
                <w:szCs w:val="22"/>
              </w:rPr>
              <w:t>Indikátor</w:t>
            </w:r>
          </w:p>
        </w:tc>
      </w:tr>
      <w:tr w:rsidR="00A64035" w:rsidRPr="00FC5286" w:rsidTr="0075074A">
        <w:tc>
          <w:tcPr>
            <w:tcW w:w="3789" w:type="dxa"/>
            <w:shd w:val="clear" w:color="auto" w:fill="auto"/>
          </w:tcPr>
          <w:p w:rsidR="00A64035" w:rsidRPr="00A4194E" w:rsidRDefault="00A64035" w:rsidP="0075074A">
            <w:pPr>
              <w:rPr>
                <w:rFonts w:cs="Arial"/>
                <w:sz w:val="22"/>
                <w:szCs w:val="22"/>
              </w:rPr>
            </w:pPr>
            <w:r w:rsidRPr="00A4194E">
              <w:rPr>
                <w:rFonts w:cs="Arial"/>
                <w:sz w:val="22"/>
                <w:szCs w:val="22"/>
              </w:rPr>
              <w:t>Podpořit obnovu hudebních nástrojů</w:t>
            </w:r>
            <w:r>
              <w:rPr>
                <w:rFonts w:cs="Arial"/>
                <w:sz w:val="22"/>
                <w:szCs w:val="22"/>
              </w:rPr>
              <w:t xml:space="preserve"> pro potřebu výuky a pro koncertní využití.</w:t>
            </w:r>
          </w:p>
        </w:tc>
        <w:tc>
          <w:tcPr>
            <w:tcW w:w="2046" w:type="dxa"/>
            <w:shd w:val="clear" w:color="auto" w:fill="auto"/>
          </w:tcPr>
          <w:p w:rsidR="00A64035" w:rsidRPr="001C6D0B" w:rsidRDefault="00A64035" w:rsidP="0075074A">
            <w:pPr>
              <w:rPr>
                <w:rFonts w:cs="Arial"/>
                <w:sz w:val="22"/>
                <w:szCs w:val="22"/>
              </w:rPr>
            </w:pPr>
            <w:r w:rsidRPr="001C6D0B">
              <w:rPr>
                <w:rFonts w:cs="Arial"/>
                <w:sz w:val="22"/>
                <w:szCs w:val="22"/>
              </w:rPr>
              <w:t>ZSMCH</w:t>
            </w:r>
          </w:p>
        </w:tc>
        <w:tc>
          <w:tcPr>
            <w:tcW w:w="1806" w:type="dxa"/>
            <w:shd w:val="clear" w:color="auto" w:fill="auto"/>
          </w:tcPr>
          <w:p w:rsidR="00A64035" w:rsidRPr="001C6D0B" w:rsidRDefault="00A64035" w:rsidP="0075074A">
            <w:pPr>
              <w:rPr>
                <w:rFonts w:cs="Arial"/>
                <w:sz w:val="22"/>
                <w:szCs w:val="22"/>
              </w:rPr>
            </w:pPr>
            <w:r w:rsidRPr="001C6D0B">
              <w:rPr>
                <w:rFonts w:cs="Arial"/>
                <w:sz w:val="22"/>
                <w:szCs w:val="22"/>
              </w:rPr>
              <w:t>Ř</w:t>
            </w:r>
            <w:r>
              <w:rPr>
                <w:rFonts w:cs="Arial"/>
                <w:sz w:val="22"/>
                <w:szCs w:val="22"/>
              </w:rPr>
              <w:t>O</w:t>
            </w:r>
            <w:r w:rsidRPr="001C6D0B">
              <w:rPr>
                <w:rFonts w:cs="Arial"/>
                <w:sz w:val="22"/>
                <w:szCs w:val="22"/>
              </w:rPr>
              <w:t>/VVVZ</w:t>
            </w:r>
          </w:p>
        </w:tc>
        <w:tc>
          <w:tcPr>
            <w:tcW w:w="1647" w:type="dxa"/>
            <w:shd w:val="clear" w:color="auto" w:fill="auto"/>
          </w:tcPr>
          <w:p w:rsidR="00A64035" w:rsidRPr="001C6D0B" w:rsidRDefault="00A64035" w:rsidP="0075074A">
            <w:pPr>
              <w:rPr>
                <w:rFonts w:cs="Arial"/>
                <w:sz w:val="22"/>
                <w:szCs w:val="22"/>
              </w:rPr>
            </w:pPr>
            <w:r w:rsidRPr="001C6D0B">
              <w:rPr>
                <w:rFonts w:cs="Arial"/>
                <w:sz w:val="22"/>
                <w:szCs w:val="22"/>
              </w:rPr>
              <w:t>Meziroční % vývoj</w:t>
            </w:r>
          </w:p>
        </w:tc>
      </w:tr>
      <w:tr w:rsidR="00A64035" w:rsidRPr="00FC5286" w:rsidTr="0075074A">
        <w:tc>
          <w:tcPr>
            <w:tcW w:w="3789" w:type="dxa"/>
            <w:shd w:val="clear" w:color="auto" w:fill="auto"/>
          </w:tcPr>
          <w:p w:rsidR="00A64035" w:rsidRPr="00A4194E" w:rsidRDefault="00A64035" w:rsidP="0075074A">
            <w:pPr>
              <w:rPr>
                <w:rFonts w:cs="Arial"/>
                <w:color w:val="FF0000"/>
                <w:sz w:val="22"/>
                <w:szCs w:val="22"/>
              </w:rPr>
            </w:pPr>
          </w:p>
        </w:tc>
        <w:tc>
          <w:tcPr>
            <w:tcW w:w="2046" w:type="dxa"/>
            <w:shd w:val="clear" w:color="auto" w:fill="auto"/>
          </w:tcPr>
          <w:p w:rsidR="00A64035" w:rsidRPr="001C6D0B" w:rsidRDefault="00A64035" w:rsidP="0075074A">
            <w:pPr>
              <w:rPr>
                <w:rFonts w:cs="Arial"/>
                <w:sz w:val="22"/>
                <w:szCs w:val="22"/>
              </w:rPr>
            </w:pPr>
          </w:p>
        </w:tc>
        <w:tc>
          <w:tcPr>
            <w:tcW w:w="1806" w:type="dxa"/>
            <w:shd w:val="clear" w:color="auto" w:fill="auto"/>
          </w:tcPr>
          <w:p w:rsidR="00A64035" w:rsidRPr="001C6D0B" w:rsidRDefault="00A64035" w:rsidP="0075074A">
            <w:pPr>
              <w:rPr>
                <w:rFonts w:cs="Arial"/>
                <w:sz w:val="22"/>
                <w:szCs w:val="22"/>
              </w:rPr>
            </w:pPr>
          </w:p>
        </w:tc>
        <w:tc>
          <w:tcPr>
            <w:tcW w:w="1647" w:type="dxa"/>
            <w:shd w:val="clear" w:color="auto" w:fill="auto"/>
          </w:tcPr>
          <w:p w:rsidR="00A64035" w:rsidRPr="001C6D0B" w:rsidRDefault="00A64035" w:rsidP="0075074A">
            <w:pPr>
              <w:rPr>
                <w:rFonts w:cs="Arial"/>
                <w:sz w:val="22"/>
                <w:szCs w:val="22"/>
              </w:rPr>
            </w:pPr>
          </w:p>
        </w:tc>
      </w:tr>
      <w:tr w:rsidR="00A64035" w:rsidRPr="00FC5286" w:rsidTr="0075074A">
        <w:tc>
          <w:tcPr>
            <w:tcW w:w="3789" w:type="dxa"/>
            <w:shd w:val="clear" w:color="auto" w:fill="auto"/>
          </w:tcPr>
          <w:p w:rsidR="00A64035" w:rsidRPr="00A4194E" w:rsidRDefault="00A64035" w:rsidP="0075074A">
            <w:pPr>
              <w:rPr>
                <w:rFonts w:cs="Arial"/>
                <w:sz w:val="22"/>
                <w:szCs w:val="22"/>
              </w:rPr>
            </w:pPr>
            <w:r w:rsidRPr="00A4194E">
              <w:rPr>
                <w:rFonts w:cs="Arial"/>
                <w:sz w:val="22"/>
                <w:szCs w:val="22"/>
              </w:rPr>
              <w:t>Podporovat volnočasové aktivity jako účinný</w:t>
            </w:r>
            <w:r>
              <w:rPr>
                <w:rFonts w:cs="Arial"/>
                <w:sz w:val="22"/>
                <w:szCs w:val="22"/>
              </w:rPr>
              <w:t xml:space="preserve"> </w:t>
            </w:r>
            <w:r w:rsidRPr="00A4194E">
              <w:rPr>
                <w:rFonts w:cs="Arial"/>
                <w:sz w:val="22"/>
                <w:szCs w:val="22"/>
              </w:rPr>
              <w:t>nástroj prevence sociálně patologických jevů.</w:t>
            </w:r>
          </w:p>
        </w:tc>
        <w:tc>
          <w:tcPr>
            <w:tcW w:w="2046" w:type="dxa"/>
            <w:shd w:val="clear" w:color="auto" w:fill="auto"/>
          </w:tcPr>
          <w:p w:rsidR="00A64035" w:rsidRPr="001C6D0B" w:rsidRDefault="00A64035" w:rsidP="0075074A">
            <w:pPr>
              <w:rPr>
                <w:rFonts w:cs="Arial"/>
                <w:sz w:val="22"/>
                <w:szCs w:val="22"/>
              </w:rPr>
            </w:pPr>
            <w:r w:rsidRPr="001C6D0B">
              <w:rPr>
                <w:rFonts w:cs="Arial"/>
                <w:sz w:val="22"/>
                <w:szCs w:val="22"/>
              </w:rPr>
              <w:t>ZSMCH</w:t>
            </w:r>
          </w:p>
        </w:tc>
        <w:tc>
          <w:tcPr>
            <w:tcW w:w="1806" w:type="dxa"/>
            <w:shd w:val="clear" w:color="auto" w:fill="auto"/>
          </w:tcPr>
          <w:p w:rsidR="00A64035" w:rsidRPr="001C6D0B" w:rsidRDefault="00A64035" w:rsidP="0075074A">
            <w:pPr>
              <w:rPr>
                <w:rFonts w:cs="Arial"/>
                <w:sz w:val="22"/>
                <w:szCs w:val="22"/>
              </w:rPr>
            </w:pPr>
            <w:r w:rsidRPr="001C6D0B">
              <w:rPr>
                <w:rFonts w:cs="Arial"/>
                <w:sz w:val="22"/>
                <w:szCs w:val="22"/>
              </w:rPr>
              <w:t>Ř</w:t>
            </w:r>
            <w:r>
              <w:rPr>
                <w:rFonts w:cs="Arial"/>
                <w:sz w:val="22"/>
                <w:szCs w:val="22"/>
              </w:rPr>
              <w:t>O</w:t>
            </w:r>
            <w:r w:rsidRPr="001C6D0B">
              <w:rPr>
                <w:rFonts w:cs="Arial"/>
                <w:sz w:val="22"/>
                <w:szCs w:val="22"/>
              </w:rPr>
              <w:t>/VVVZ</w:t>
            </w:r>
          </w:p>
        </w:tc>
        <w:tc>
          <w:tcPr>
            <w:tcW w:w="1647" w:type="dxa"/>
            <w:shd w:val="clear" w:color="auto" w:fill="auto"/>
          </w:tcPr>
          <w:p w:rsidR="00A64035" w:rsidRPr="001C6D0B" w:rsidRDefault="00A64035" w:rsidP="0075074A">
            <w:pPr>
              <w:rPr>
                <w:rFonts w:cs="Arial"/>
                <w:sz w:val="22"/>
                <w:szCs w:val="22"/>
              </w:rPr>
            </w:pPr>
            <w:r w:rsidRPr="001C6D0B">
              <w:rPr>
                <w:rFonts w:cs="Arial"/>
                <w:sz w:val="22"/>
                <w:szCs w:val="22"/>
              </w:rPr>
              <w:t>Výroční zprávy škol</w:t>
            </w:r>
          </w:p>
        </w:tc>
      </w:tr>
      <w:tr w:rsidR="00A64035" w:rsidRPr="00FC5286" w:rsidTr="0075074A">
        <w:tc>
          <w:tcPr>
            <w:tcW w:w="3789" w:type="dxa"/>
            <w:shd w:val="clear" w:color="auto" w:fill="auto"/>
          </w:tcPr>
          <w:p w:rsidR="00A64035" w:rsidRPr="00A4194E" w:rsidRDefault="00A64035" w:rsidP="0075074A">
            <w:pPr>
              <w:rPr>
                <w:rFonts w:cs="Arial"/>
                <w:sz w:val="22"/>
                <w:szCs w:val="22"/>
              </w:rPr>
            </w:pPr>
          </w:p>
        </w:tc>
        <w:tc>
          <w:tcPr>
            <w:tcW w:w="2046" w:type="dxa"/>
            <w:shd w:val="clear" w:color="auto" w:fill="auto"/>
          </w:tcPr>
          <w:p w:rsidR="00A64035" w:rsidRPr="001C6D0B" w:rsidRDefault="00A64035" w:rsidP="0075074A">
            <w:pPr>
              <w:rPr>
                <w:rFonts w:cs="Arial"/>
                <w:sz w:val="22"/>
                <w:szCs w:val="22"/>
              </w:rPr>
            </w:pPr>
          </w:p>
        </w:tc>
        <w:tc>
          <w:tcPr>
            <w:tcW w:w="1806" w:type="dxa"/>
            <w:shd w:val="clear" w:color="auto" w:fill="auto"/>
          </w:tcPr>
          <w:p w:rsidR="00A64035" w:rsidRPr="001C6D0B" w:rsidRDefault="00A64035" w:rsidP="0075074A">
            <w:pPr>
              <w:rPr>
                <w:rFonts w:cs="Arial"/>
                <w:sz w:val="22"/>
                <w:szCs w:val="22"/>
              </w:rPr>
            </w:pPr>
          </w:p>
        </w:tc>
        <w:tc>
          <w:tcPr>
            <w:tcW w:w="1647" w:type="dxa"/>
            <w:shd w:val="clear" w:color="auto" w:fill="auto"/>
          </w:tcPr>
          <w:p w:rsidR="00A64035" w:rsidRPr="001C6D0B" w:rsidRDefault="00A64035" w:rsidP="0075074A">
            <w:pPr>
              <w:rPr>
                <w:rFonts w:cs="Arial"/>
                <w:sz w:val="22"/>
                <w:szCs w:val="22"/>
              </w:rPr>
            </w:pPr>
          </w:p>
        </w:tc>
      </w:tr>
      <w:tr w:rsidR="00A64035" w:rsidRPr="00FC5286" w:rsidTr="0075074A">
        <w:tc>
          <w:tcPr>
            <w:tcW w:w="3789" w:type="dxa"/>
            <w:shd w:val="clear" w:color="auto" w:fill="auto"/>
          </w:tcPr>
          <w:p w:rsidR="00A64035" w:rsidRPr="00A4194E" w:rsidRDefault="00A64035" w:rsidP="0075074A">
            <w:pPr>
              <w:rPr>
                <w:rFonts w:cs="Arial"/>
                <w:sz w:val="22"/>
                <w:szCs w:val="22"/>
              </w:rPr>
            </w:pPr>
            <w:r>
              <w:rPr>
                <w:rFonts w:cs="Arial"/>
                <w:sz w:val="22"/>
                <w:szCs w:val="22"/>
              </w:rPr>
              <w:t>DDM a ZUŠ vnímat jako spolučinitel, který má pozitivní vliv na kulturní, sportovní a společenský život obce.</w:t>
            </w:r>
          </w:p>
        </w:tc>
        <w:tc>
          <w:tcPr>
            <w:tcW w:w="2046" w:type="dxa"/>
            <w:shd w:val="clear" w:color="auto" w:fill="auto"/>
          </w:tcPr>
          <w:p w:rsidR="00A64035" w:rsidRPr="001C6D0B" w:rsidRDefault="00A64035" w:rsidP="0075074A">
            <w:pPr>
              <w:rPr>
                <w:rFonts w:cs="Arial"/>
                <w:sz w:val="22"/>
                <w:szCs w:val="22"/>
              </w:rPr>
            </w:pPr>
            <w:r w:rsidRPr="001C6D0B">
              <w:rPr>
                <w:rFonts w:cs="Arial"/>
                <w:sz w:val="22"/>
                <w:szCs w:val="22"/>
              </w:rPr>
              <w:t>ZSMCH</w:t>
            </w:r>
          </w:p>
        </w:tc>
        <w:tc>
          <w:tcPr>
            <w:tcW w:w="1806" w:type="dxa"/>
            <w:shd w:val="clear" w:color="auto" w:fill="auto"/>
          </w:tcPr>
          <w:p w:rsidR="00A64035" w:rsidRPr="001C6D0B" w:rsidRDefault="00A64035" w:rsidP="0075074A">
            <w:pPr>
              <w:rPr>
                <w:rFonts w:cs="Arial"/>
                <w:sz w:val="22"/>
                <w:szCs w:val="22"/>
              </w:rPr>
            </w:pPr>
            <w:r w:rsidRPr="001C6D0B">
              <w:rPr>
                <w:rFonts w:cs="Arial"/>
                <w:sz w:val="22"/>
                <w:szCs w:val="22"/>
              </w:rPr>
              <w:t>Ř</w:t>
            </w:r>
            <w:r>
              <w:rPr>
                <w:rFonts w:cs="Arial"/>
                <w:sz w:val="22"/>
                <w:szCs w:val="22"/>
              </w:rPr>
              <w:t>O</w:t>
            </w:r>
            <w:r w:rsidRPr="001C6D0B">
              <w:rPr>
                <w:rFonts w:cs="Arial"/>
                <w:sz w:val="22"/>
                <w:szCs w:val="22"/>
              </w:rPr>
              <w:t>/VVVZ</w:t>
            </w:r>
          </w:p>
        </w:tc>
        <w:tc>
          <w:tcPr>
            <w:tcW w:w="1647" w:type="dxa"/>
            <w:shd w:val="clear" w:color="auto" w:fill="auto"/>
          </w:tcPr>
          <w:p w:rsidR="00A64035" w:rsidRPr="001C6D0B" w:rsidRDefault="00A64035" w:rsidP="0075074A">
            <w:pPr>
              <w:rPr>
                <w:rFonts w:cs="Arial"/>
                <w:sz w:val="22"/>
                <w:szCs w:val="22"/>
              </w:rPr>
            </w:pPr>
            <w:r>
              <w:rPr>
                <w:rFonts w:cs="Arial"/>
                <w:sz w:val="22"/>
                <w:szCs w:val="22"/>
              </w:rPr>
              <w:t>Počet uskutečněných akcí</w:t>
            </w:r>
          </w:p>
        </w:tc>
      </w:tr>
      <w:tr w:rsidR="00A64035" w:rsidRPr="00FC5286" w:rsidTr="0075074A">
        <w:tc>
          <w:tcPr>
            <w:tcW w:w="3789" w:type="dxa"/>
            <w:shd w:val="clear" w:color="auto" w:fill="auto"/>
          </w:tcPr>
          <w:p w:rsidR="00A64035" w:rsidRDefault="00A64035" w:rsidP="0075074A">
            <w:pPr>
              <w:rPr>
                <w:rFonts w:cs="Arial"/>
                <w:sz w:val="22"/>
                <w:szCs w:val="22"/>
              </w:rPr>
            </w:pPr>
          </w:p>
        </w:tc>
        <w:tc>
          <w:tcPr>
            <w:tcW w:w="2046" w:type="dxa"/>
            <w:shd w:val="clear" w:color="auto" w:fill="auto"/>
          </w:tcPr>
          <w:p w:rsidR="00A64035" w:rsidRPr="001C6D0B" w:rsidRDefault="00A64035" w:rsidP="0075074A">
            <w:pPr>
              <w:rPr>
                <w:rFonts w:cs="Arial"/>
                <w:sz w:val="22"/>
                <w:szCs w:val="22"/>
              </w:rPr>
            </w:pPr>
          </w:p>
        </w:tc>
        <w:tc>
          <w:tcPr>
            <w:tcW w:w="1806" w:type="dxa"/>
            <w:shd w:val="clear" w:color="auto" w:fill="auto"/>
          </w:tcPr>
          <w:p w:rsidR="00A64035" w:rsidRPr="001C6D0B" w:rsidRDefault="00A64035" w:rsidP="0075074A">
            <w:pPr>
              <w:rPr>
                <w:rFonts w:cs="Arial"/>
                <w:sz w:val="22"/>
                <w:szCs w:val="22"/>
              </w:rPr>
            </w:pPr>
          </w:p>
        </w:tc>
        <w:tc>
          <w:tcPr>
            <w:tcW w:w="1647" w:type="dxa"/>
            <w:shd w:val="clear" w:color="auto" w:fill="auto"/>
          </w:tcPr>
          <w:p w:rsidR="00A64035" w:rsidRPr="001C6D0B" w:rsidRDefault="00A64035" w:rsidP="0075074A">
            <w:pPr>
              <w:rPr>
                <w:rFonts w:cs="Arial"/>
                <w:sz w:val="22"/>
                <w:szCs w:val="22"/>
              </w:rPr>
            </w:pPr>
          </w:p>
        </w:tc>
      </w:tr>
      <w:tr w:rsidR="00A64035" w:rsidRPr="00FC5286" w:rsidTr="0075074A">
        <w:tc>
          <w:tcPr>
            <w:tcW w:w="3789" w:type="dxa"/>
            <w:shd w:val="clear" w:color="auto" w:fill="auto"/>
          </w:tcPr>
          <w:p w:rsidR="00A64035" w:rsidRDefault="00A64035" w:rsidP="0075074A">
            <w:pPr>
              <w:rPr>
                <w:rFonts w:cs="Arial"/>
                <w:sz w:val="22"/>
                <w:szCs w:val="22"/>
              </w:rPr>
            </w:pPr>
            <w:r>
              <w:rPr>
                <w:rFonts w:cs="Arial"/>
                <w:sz w:val="22"/>
                <w:szCs w:val="22"/>
              </w:rPr>
              <w:t>Podporovat práci s talentovanou mládeží, individuálně podporovat úspěšné jedince a také kolektivy reprezentující naše město.</w:t>
            </w:r>
          </w:p>
        </w:tc>
        <w:tc>
          <w:tcPr>
            <w:tcW w:w="2046" w:type="dxa"/>
            <w:shd w:val="clear" w:color="auto" w:fill="auto"/>
          </w:tcPr>
          <w:p w:rsidR="00A64035" w:rsidRPr="001C6D0B" w:rsidRDefault="00A64035" w:rsidP="0075074A">
            <w:pPr>
              <w:rPr>
                <w:rFonts w:cs="Arial"/>
                <w:sz w:val="22"/>
                <w:szCs w:val="22"/>
              </w:rPr>
            </w:pPr>
            <w:r w:rsidRPr="001C6D0B">
              <w:rPr>
                <w:rFonts w:cs="Arial"/>
                <w:sz w:val="22"/>
                <w:szCs w:val="22"/>
              </w:rPr>
              <w:t>ZSMCH</w:t>
            </w:r>
          </w:p>
        </w:tc>
        <w:tc>
          <w:tcPr>
            <w:tcW w:w="1806" w:type="dxa"/>
            <w:shd w:val="clear" w:color="auto" w:fill="auto"/>
          </w:tcPr>
          <w:p w:rsidR="00A64035" w:rsidRPr="001C6D0B" w:rsidRDefault="00A64035" w:rsidP="0075074A">
            <w:pPr>
              <w:rPr>
                <w:rFonts w:cs="Arial"/>
                <w:sz w:val="22"/>
                <w:szCs w:val="22"/>
              </w:rPr>
            </w:pPr>
            <w:r w:rsidRPr="001C6D0B">
              <w:rPr>
                <w:rFonts w:cs="Arial"/>
                <w:sz w:val="22"/>
                <w:szCs w:val="22"/>
              </w:rPr>
              <w:t>Ř</w:t>
            </w:r>
            <w:r>
              <w:rPr>
                <w:rFonts w:cs="Arial"/>
                <w:sz w:val="22"/>
                <w:szCs w:val="22"/>
              </w:rPr>
              <w:t>O</w:t>
            </w:r>
            <w:r w:rsidRPr="001C6D0B">
              <w:rPr>
                <w:rFonts w:cs="Arial"/>
                <w:sz w:val="22"/>
                <w:szCs w:val="22"/>
              </w:rPr>
              <w:t>/VVVZ</w:t>
            </w:r>
          </w:p>
        </w:tc>
        <w:tc>
          <w:tcPr>
            <w:tcW w:w="1647" w:type="dxa"/>
            <w:shd w:val="clear" w:color="auto" w:fill="auto"/>
          </w:tcPr>
          <w:p w:rsidR="00A64035" w:rsidRPr="001C6D0B" w:rsidRDefault="00A64035" w:rsidP="0075074A">
            <w:pPr>
              <w:rPr>
                <w:rFonts w:cs="Arial"/>
                <w:sz w:val="22"/>
                <w:szCs w:val="22"/>
              </w:rPr>
            </w:pPr>
            <w:r>
              <w:rPr>
                <w:rFonts w:cs="Arial"/>
                <w:sz w:val="22"/>
                <w:szCs w:val="22"/>
              </w:rPr>
              <w:t>Počet uskutečněných akcí</w:t>
            </w:r>
          </w:p>
        </w:tc>
      </w:tr>
      <w:tr w:rsidR="00A64035" w:rsidRPr="00FC5286" w:rsidTr="0075074A">
        <w:tc>
          <w:tcPr>
            <w:tcW w:w="3789" w:type="dxa"/>
            <w:shd w:val="clear" w:color="auto" w:fill="auto"/>
          </w:tcPr>
          <w:p w:rsidR="00A64035" w:rsidRDefault="00A64035" w:rsidP="0075074A">
            <w:pPr>
              <w:rPr>
                <w:rFonts w:cs="Arial"/>
                <w:sz w:val="22"/>
                <w:szCs w:val="22"/>
              </w:rPr>
            </w:pPr>
          </w:p>
        </w:tc>
        <w:tc>
          <w:tcPr>
            <w:tcW w:w="2046" w:type="dxa"/>
            <w:shd w:val="clear" w:color="auto" w:fill="auto"/>
          </w:tcPr>
          <w:p w:rsidR="00A64035" w:rsidRPr="002A67E9" w:rsidRDefault="00A64035" w:rsidP="0075074A">
            <w:pPr>
              <w:rPr>
                <w:rFonts w:cs="Arial"/>
                <w:b/>
                <w:sz w:val="22"/>
                <w:szCs w:val="22"/>
              </w:rPr>
            </w:pPr>
          </w:p>
        </w:tc>
        <w:tc>
          <w:tcPr>
            <w:tcW w:w="1806" w:type="dxa"/>
            <w:shd w:val="clear" w:color="auto" w:fill="auto"/>
          </w:tcPr>
          <w:p w:rsidR="00A64035" w:rsidRPr="002A67E9" w:rsidRDefault="00A64035" w:rsidP="0075074A">
            <w:pPr>
              <w:rPr>
                <w:rFonts w:cs="Arial"/>
                <w:b/>
                <w:sz w:val="22"/>
                <w:szCs w:val="22"/>
              </w:rPr>
            </w:pPr>
          </w:p>
        </w:tc>
        <w:tc>
          <w:tcPr>
            <w:tcW w:w="1647" w:type="dxa"/>
            <w:shd w:val="clear" w:color="auto" w:fill="auto"/>
          </w:tcPr>
          <w:p w:rsidR="00A64035" w:rsidRPr="002A67E9" w:rsidRDefault="00A64035" w:rsidP="0075074A">
            <w:pPr>
              <w:rPr>
                <w:rFonts w:cs="Arial"/>
                <w:b/>
                <w:sz w:val="22"/>
                <w:szCs w:val="22"/>
              </w:rPr>
            </w:pPr>
          </w:p>
        </w:tc>
      </w:tr>
      <w:tr w:rsidR="00A64035" w:rsidRPr="00FC5286" w:rsidTr="0075074A">
        <w:tc>
          <w:tcPr>
            <w:tcW w:w="3789" w:type="dxa"/>
            <w:shd w:val="clear" w:color="auto" w:fill="auto"/>
          </w:tcPr>
          <w:p w:rsidR="00A64035" w:rsidRDefault="00A64035" w:rsidP="0075074A">
            <w:pPr>
              <w:rPr>
                <w:rFonts w:cs="Arial"/>
                <w:sz w:val="22"/>
                <w:szCs w:val="22"/>
              </w:rPr>
            </w:pPr>
            <w:r>
              <w:rPr>
                <w:rFonts w:cs="Arial"/>
                <w:sz w:val="22"/>
                <w:szCs w:val="22"/>
              </w:rPr>
              <w:t>Podporovat činnost a aktivity občanských sdružení, neziskových organizací, nízkoprahových zařízení, mateřských center a dalších organizací, které se zaměřují na činnosti s dětmi, žáky a mládeží.</w:t>
            </w:r>
          </w:p>
        </w:tc>
        <w:tc>
          <w:tcPr>
            <w:tcW w:w="2046" w:type="dxa"/>
            <w:shd w:val="clear" w:color="auto" w:fill="auto"/>
          </w:tcPr>
          <w:p w:rsidR="00A64035" w:rsidRPr="001C6D0B" w:rsidRDefault="00A64035" w:rsidP="0075074A">
            <w:pPr>
              <w:rPr>
                <w:rFonts w:cs="Arial"/>
                <w:sz w:val="22"/>
                <w:szCs w:val="22"/>
              </w:rPr>
            </w:pPr>
            <w:r w:rsidRPr="001C6D0B">
              <w:rPr>
                <w:rFonts w:cs="Arial"/>
                <w:sz w:val="22"/>
                <w:szCs w:val="22"/>
              </w:rPr>
              <w:t>ZSMCH</w:t>
            </w:r>
          </w:p>
        </w:tc>
        <w:tc>
          <w:tcPr>
            <w:tcW w:w="1806" w:type="dxa"/>
            <w:shd w:val="clear" w:color="auto" w:fill="auto"/>
          </w:tcPr>
          <w:p w:rsidR="00A64035" w:rsidRPr="001C6D0B" w:rsidRDefault="00A64035" w:rsidP="0075074A">
            <w:pPr>
              <w:rPr>
                <w:rFonts w:cs="Arial"/>
                <w:sz w:val="22"/>
                <w:szCs w:val="22"/>
              </w:rPr>
            </w:pPr>
            <w:r w:rsidRPr="001C6D0B">
              <w:rPr>
                <w:rFonts w:cs="Arial"/>
                <w:sz w:val="22"/>
                <w:szCs w:val="22"/>
              </w:rPr>
              <w:t>ŘO/VVVZ</w:t>
            </w:r>
          </w:p>
        </w:tc>
        <w:tc>
          <w:tcPr>
            <w:tcW w:w="1647" w:type="dxa"/>
            <w:shd w:val="clear" w:color="auto" w:fill="auto"/>
          </w:tcPr>
          <w:p w:rsidR="00A64035" w:rsidRPr="001C6D0B" w:rsidRDefault="00A64035" w:rsidP="0075074A">
            <w:pPr>
              <w:rPr>
                <w:rFonts w:cs="Arial"/>
                <w:sz w:val="22"/>
                <w:szCs w:val="22"/>
              </w:rPr>
            </w:pPr>
            <w:r w:rsidRPr="001C6D0B">
              <w:rPr>
                <w:rFonts w:cs="Arial"/>
                <w:sz w:val="22"/>
                <w:szCs w:val="22"/>
              </w:rPr>
              <w:t>Počet uskutečněných akcí</w:t>
            </w:r>
          </w:p>
        </w:tc>
      </w:tr>
    </w:tbl>
    <w:p w:rsidR="00A64035" w:rsidRPr="00FC5286" w:rsidRDefault="00A64035" w:rsidP="00A64035">
      <w:pPr>
        <w:jc w:val="both"/>
        <w:rPr>
          <w:rFonts w:cs="Arial"/>
          <w:sz w:val="22"/>
          <w:szCs w:val="22"/>
        </w:rPr>
      </w:pPr>
    </w:p>
    <w:p w:rsidR="00A64035" w:rsidRPr="00FC5286" w:rsidRDefault="00A64035" w:rsidP="00A64035">
      <w:pPr>
        <w:jc w:val="both"/>
        <w:rPr>
          <w:rFonts w:cs="Arial"/>
          <w:sz w:val="22"/>
          <w:szCs w:val="22"/>
        </w:rPr>
      </w:pPr>
    </w:p>
    <w:p w:rsidR="00A64035" w:rsidRPr="00FC5286" w:rsidRDefault="00A64035" w:rsidP="00A64035">
      <w:pPr>
        <w:jc w:val="both"/>
        <w:rPr>
          <w:rFonts w:cs="Arial"/>
          <w:sz w:val="22"/>
          <w:szCs w:val="22"/>
        </w:rPr>
      </w:pPr>
    </w:p>
    <w:p w:rsidR="00A64035" w:rsidRPr="00FC5286" w:rsidRDefault="00A64035" w:rsidP="00A64035">
      <w:pPr>
        <w:jc w:val="both"/>
        <w:rPr>
          <w:rFonts w:cs="Arial"/>
          <w:sz w:val="22"/>
          <w:szCs w:val="22"/>
        </w:rPr>
      </w:pPr>
    </w:p>
    <w:p w:rsidR="00A64035" w:rsidRPr="00FC5286" w:rsidRDefault="00A64035" w:rsidP="00A64035">
      <w:pPr>
        <w:jc w:val="both"/>
        <w:rPr>
          <w:rFonts w:cs="Arial"/>
          <w:sz w:val="22"/>
          <w:szCs w:val="22"/>
        </w:rPr>
      </w:pPr>
    </w:p>
    <w:p w:rsidR="00A64035" w:rsidRPr="00FC5286" w:rsidRDefault="00A64035" w:rsidP="00A64035">
      <w:pPr>
        <w:jc w:val="both"/>
        <w:rPr>
          <w:rFonts w:cs="Arial"/>
          <w:sz w:val="22"/>
          <w:szCs w:val="22"/>
        </w:rPr>
      </w:pPr>
    </w:p>
    <w:p w:rsidR="00A64035" w:rsidRPr="00FC5286" w:rsidRDefault="00A64035" w:rsidP="00A64035">
      <w:pPr>
        <w:jc w:val="both"/>
        <w:rPr>
          <w:rFonts w:cs="Arial"/>
          <w:sz w:val="22"/>
          <w:szCs w:val="22"/>
        </w:rPr>
      </w:pPr>
    </w:p>
    <w:p w:rsidR="00A64035" w:rsidRPr="00FC5286" w:rsidRDefault="00A64035" w:rsidP="00A64035">
      <w:pPr>
        <w:jc w:val="both"/>
        <w:rPr>
          <w:rFonts w:cs="Arial"/>
          <w:sz w:val="22"/>
          <w:szCs w:val="22"/>
        </w:rPr>
      </w:pPr>
    </w:p>
    <w:p w:rsidR="00A64035" w:rsidRPr="00FC5286"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Pr="007B06F9" w:rsidRDefault="00A64035" w:rsidP="00557F1F">
      <w:pPr>
        <w:pStyle w:val="Nadpis1"/>
        <w:numPr>
          <w:ilvl w:val="0"/>
          <w:numId w:val="3"/>
        </w:numPr>
        <w:jc w:val="left"/>
        <w:rPr>
          <w:szCs w:val="24"/>
        </w:rPr>
      </w:pPr>
      <w:r w:rsidRPr="007B06F9">
        <w:rPr>
          <w:szCs w:val="24"/>
        </w:rPr>
        <w:lastRenderedPageBreak/>
        <w:t xml:space="preserve">PODPORA ZAMĚSTNANOSTI  </w:t>
      </w:r>
    </w:p>
    <w:p w:rsidR="00A64035" w:rsidRDefault="00A64035" w:rsidP="00A64035">
      <w:pPr>
        <w:rPr>
          <w:rFonts w:cs="Arial"/>
          <w:sz w:val="22"/>
          <w:szCs w:val="22"/>
        </w:rPr>
      </w:pPr>
    </w:p>
    <w:p w:rsidR="00A64035" w:rsidRDefault="00A64035" w:rsidP="00557F1F">
      <w:pPr>
        <w:pStyle w:val="Nadpis2"/>
        <w:numPr>
          <w:ilvl w:val="1"/>
          <w:numId w:val="3"/>
        </w:numPr>
      </w:pPr>
      <w:r>
        <w:t>ZAMĚSTNANOST</w:t>
      </w:r>
    </w:p>
    <w:p w:rsidR="00A64035" w:rsidRDefault="00A64035" w:rsidP="00A64035">
      <w:pPr>
        <w:jc w:val="both"/>
        <w:rPr>
          <w:rFonts w:ascii="Calibri" w:hAnsi="Calibri" w:cs="Calibri"/>
          <w:color w:val="FF0000"/>
          <w:sz w:val="22"/>
          <w:szCs w:val="22"/>
        </w:rPr>
      </w:pPr>
    </w:p>
    <w:tbl>
      <w:tblPr>
        <w:tblW w:w="7960" w:type="dxa"/>
        <w:tblInd w:w="47" w:type="dxa"/>
        <w:tblCellMar>
          <w:left w:w="70" w:type="dxa"/>
          <w:right w:w="70" w:type="dxa"/>
        </w:tblCellMar>
        <w:tblLook w:val="04A0" w:firstRow="1" w:lastRow="0" w:firstColumn="1" w:lastColumn="0" w:noHBand="0" w:noVBand="1"/>
      </w:tblPr>
      <w:tblGrid>
        <w:gridCol w:w="5120"/>
        <w:gridCol w:w="1420"/>
        <w:gridCol w:w="1420"/>
      </w:tblGrid>
      <w:tr w:rsidR="00A64035" w:rsidRPr="00F348A6" w:rsidTr="0075074A">
        <w:trPr>
          <w:trHeight w:val="110"/>
        </w:trPr>
        <w:tc>
          <w:tcPr>
            <w:tcW w:w="5120" w:type="dxa"/>
            <w:vMerge w:val="restart"/>
            <w:tcBorders>
              <w:top w:val="double" w:sz="6" w:space="0" w:color="auto"/>
              <w:left w:val="double" w:sz="6" w:space="0" w:color="auto"/>
              <w:bottom w:val="double" w:sz="6" w:space="0" w:color="auto"/>
              <w:right w:val="single" w:sz="12" w:space="0" w:color="auto"/>
            </w:tcBorders>
            <w:shd w:val="clear" w:color="auto" w:fill="C0C0C0"/>
            <w:vAlign w:val="center"/>
            <w:hideMark/>
          </w:tcPr>
          <w:p w:rsidR="00A64035" w:rsidRPr="00F348A6" w:rsidRDefault="00A64035" w:rsidP="0075074A">
            <w:pPr>
              <w:jc w:val="center"/>
              <w:rPr>
                <w:rFonts w:cs="Arial"/>
                <w:b/>
                <w:bCs/>
                <w:sz w:val="22"/>
                <w:szCs w:val="22"/>
              </w:rPr>
            </w:pPr>
            <w:r w:rsidRPr="00F348A6">
              <w:rPr>
                <w:rFonts w:cs="Arial"/>
                <w:b/>
                <w:bCs/>
                <w:sz w:val="22"/>
                <w:szCs w:val="22"/>
              </w:rPr>
              <w:t>Zaměstnavatelé, zaměstnanci a OSVČ okres Chomutov</w:t>
            </w:r>
          </w:p>
        </w:tc>
        <w:tc>
          <w:tcPr>
            <w:tcW w:w="2840" w:type="dxa"/>
            <w:gridSpan w:val="2"/>
            <w:tcBorders>
              <w:top w:val="double" w:sz="6" w:space="0" w:color="auto"/>
              <w:left w:val="single" w:sz="12" w:space="0" w:color="auto"/>
              <w:bottom w:val="single" w:sz="8" w:space="0" w:color="auto"/>
              <w:right w:val="double" w:sz="6" w:space="0" w:color="000000"/>
            </w:tcBorders>
            <w:shd w:val="clear" w:color="auto" w:fill="C0C0C0"/>
            <w:vAlign w:val="center"/>
            <w:hideMark/>
          </w:tcPr>
          <w:p w:rsidR="00A64035" w:rsidRPr="00F348A6" w:rsidRDefault="00A64035" w:rsidP="0075074A">
            <w:pPr>
              <w:jc w:val="center"/>
              <w:rPr>
                <w:rFonts w:cs="Arial"/>
                <w:b/>
                <w:bCs/>
                <w:sz w:val="22"/>
                <w:szCs w:val="22"/>
              </w:rPr>
            </w:pPr>
            <w:r w:rsidRPr="00F348A6">
              <w:rPr>
                <w:rFonts w:cs="Arial"/>
                <w:b/>
                <w:bCs/>
                <w:sz w:val="22"/>
                <w:szCs w:val="22"/>
              </w:rPr>
              <w:t>stav k</w:t>
            </w:r>
          </w:p>
        </w:tc>
      </w:tr>
      <w:tr w:rsidR="00A64035" w:rsidRPr="00F348A6" w:rsidTr="0075074A">
        <w:trPr>
          <w:trHeight w:val="242"/>
        </w:trPr>
        <w:tc>
          <w:tcPr>
            <w:tcW w:w="0" w:type="auto"/>
            <w:vMerge/>
            <w:tcBorders>
              <w:top w:val="double" w:sz="6" w:space="0" w:color="auto"/>
              <w:left w:val="double" w:sz="6" w:space="0" w:color="auto"/>
              <w:bottom w:val="double" w:sz="6" w:space="0" w:color="auto"/>
              <w:right w:val="single" w:sz="12" w:space="0" w:color="auto"/>
            </w:tcBorders>
            <w:vAlign w:val="center"/>
            <w:hideMark/>
          </w:tcPr>
          <w:p w:rsidR="00A64035" w:rsidRPr="00F348A6" w:rsidRDefault="00A64035" w:rsidP="0075074A">
            <w:pPr>
              <w:rPr>
                <w:rFonts w:cs="Arial"/>
                <w:b/>
                <w:bCs/>
                <w:sz w:val="22"/>
                <w:szCs w:val="22"/>
              </w:rPr>
            </w:pPr>
          </w:p>
        </w:tc>
        <w:tc>
          <w:tcPr>
            <w:tcW w:w="1420" w:type="dxa"/>
            <w:tcBorders>
              <w:top w:val="nil"/>
              <w:left w:val="single" w:sz="12" w:space="0" w:color="auto"/>
              <w:bottom w:val="double" w:sz="6" w:space="0" w:color="auto"/>
              <w:right w:val="single" w:sz="8" w:space="0" w:color="auto"/>
            </w:tcBorders>
            <w:shd w:val="clear" w:color="auto" w:fill="C0C0C0"/>
            <w:vAlign w:val="center"/>
            <w:hideMark/>
          </w:tcPr>
          <w:p w:rsidR="00A64035" w:rsidRPr="00F348A6" w:rsidRDefault="00A64035" w:rsidP="0075074A">
            <w:pPr>
              <w:jc w:val="center"/>
              <w:rPr>
                <w:rFonts w:cs="Arial"/>
                <w:b/>
                <w:bCs/>
                <w:sz w:val="22"/>
                <w:szCs w:val="22"/>
              </w:rPr>
            </w:pPr>
            <w:r w:rsidRPr="00F348A6">
              <w:rPr>
                <w:rFonts w:cs="Arial"/>
                <w:b/>
                <w:bCs/>
                <w:sz w:val="22"/>
                <w:szCs w:val="22"/>
              </w:rPr>
              <w:t>31. 12. 2010</w:t>
            </w:r>
          </w:p>
        </w:tc>
        <w:tc>
          <w:tcPr>
            <w:tcW w:w="1420" w:type="dxa"/>
            <w:tcBorders>
              <w:top w:val="nil"/>
              <w:left w:val="nil"/>
              <w:bottom w:val="double" w:sz="6" w:space="0" w:color="auto"/>
              <w:right w:val="double" w:sz="6" w:space="0" w:color="auto"/>
            </w:tcBorders>
            <w:shd w:val="clear" w:color="auto" w:fill="C0C0C0"/>
            <w:vAlign w:val="center"/>
            <w:hideMark/>
          </w:tcPr>
          <w:p w:rsidR="00A64035" w:rsidRPr="00F348A6" w:rsidRDefault="00A64035" w:rsidP="0075074A">
            <w:pPr>
              <w:jc w:val="center"/>
              <w:rPr>
                <w:rFonts w:cs="Arial"/>
                <w:b/>
                <w:bCs/>
                <w:sz w:val="22"/>
                <w:szCs w:val="22"/>
              </w:rPr>
            </w:pPr>
            <w:r w:rsidRPr="00F348A6">
              <w:rPr>
                <w:rFonts w:cs="Arial"/>
                <w:b/>
                <w:bCs/>
                <w:sz w:val="22"/>
                <w:szCs w:val="22"/>
              </w:rPr>
              <w:t>31. 12. 2011</w:t>
            </w:r>
          </w:p>
        </w:tc>
      </w:tr>
      <w:tr w:rsidR="00A64035" w:rsidRPr="00F348A6" w:rsidTr="0075074A">
        <w:trPr>
          <w:trHeight w:val="216"/>
        </w:trPr>
        <w:tc>
          <w:tcPr>
            <w:tcW w:w="7960" w:type="dxa"/>
            <w:gridSpan w:val="3"/>
            <w:tcBorders>
              <w:top w:val="double" w:sz="6" w:space="0" w:color="auto"/>
              <w:left w:val="double" w:sz="6" w:space="0" w:color="auto"/>
              <w:bottom w:val="double" w:sz="6" w:space="0" w:color="auto"/>
              <w:right w:val="double" w:sz="6" w:space="0" w:color="000000"/>
            </w:tcBorders>
            <w:shd w:val="clear" w:color="auto" w:fill="DDDDDD"/>
            <w:vAlign w:val="center"/>
            <w:hideMark/>
          </w:tcPr>
          <w:p w:rsidR="00A64035" w:rsidRPr="00F348A6" w:rsidRDefault="00A64035" w:rsidP="0075074A">
            <w:pPr>
              <w:jc w:val="center"/>
              <w:rPr>
                <w:rFonts w:cs="Arial"/>
                <w:b/>
                <w:bCs/>
                <w:sz w:val="22"/>
                <w:szCs w:val="22"/>
              </w:rPr>
            </w:pPr>
            <w:r w:rsidRPr="00F348A6">
              <w:rPr>
                <w:rFonts w:cs="Arial"/>
                <w:b/>
                <w:bCs/>
                <w:sz w:val="22"/>
                <w:szCs w:val="22"/>
              </w:rPr>
              <w:t>Zaměstnavatelé</w:t>
            </w:r>
          </w:p>
        </w:tc>
      </w:tr>
      <w:tr w:rsidR="00A64035" w:rsidRPr="00F348A6" w:rsidTr="0075074A">
        <w:trPr>
          <w:trHeight w:val="208"/>
        </w:trPr>
        <w:tc>
          <w:tcPr>
            <w:tcW w:w="5120" w:type="dxa"/>
            <w:tcBorders>
              <w:top w:val="single" w:sz="8" w:space="0" w:color="auto"/>
              <w:left w:val="double" w:sz="6" w:space="0" w:color="auto"/>
              <w:bottom w:val="double" w:sz="6" w:space="0" w:color="auto"/>
              <w:right w:val="single" w:sz="12" w:space="0" w:color="auto"/>
            </w:tcBorders>
            <w:shd w:val="clear" w:color="auto" w:fill="DDDDDD"/>
            <w:vAlign w:val="center"/>
            <w:hideMark/>
          </w:tcPr>
          <w:p w:rsidR="00A64035" w:rsidRPr="00F348A6" w:rsidRDefault="00A64035" w:rsidP="0075074A">
            <w:pPr>
              <w:jc w:val="both"/>
              <w:rPr>
                <w:rFonts w:cs="Arial"/>
                <w:sz w:val="22"/>
                <w:szCs w:val="22"/>
              </w:rPr>
            </w:pPr>
            <w:r w:rsidRPr="00F348A6">
              <w:rPr>
                <w:rFonts w:cs="Arial"/>
                <w:sz w:val="22"/>
                <w:szCs w:val="22"/>
              </w:rPr>
              <w:t>zaměstnavatelé</w:t>
            </w:r>
          </w:p>
        </w:tc>
        <w:tc>
          <w:tcPr>
            <w:tcW w:w="1420" w:type="dxa"/>
            <w:tcBorders>
              <w:top w:val="single" w:sz="8" w:space="0" w:color="auto"/>
              <w:left w:val="single" w:sz="12" w:space="0" w:color="auto"/>
              <w:bottom w:val="double" w:sz="6" w:space="0" w:color="auto"/>
              <w:right w:val="single" w:sz="8" w:space="0" w:color="auto"/>
            </w:tcBorders>
            <w:vAlign w:val="center"/>
            <w:hideMark/>
          </w:tcPr>
          <w:p w:rsidR="00A64035" w:rsidRPr="00F348A6" w:rsidRDefault="00A64035" w:rsidP="0075074A">
            <w:pPr>
              <w:ind w:right="227"/>
              <w:jc w:val="right"/>
              <w:rPr>
                <w:rFonts w:cs="Arial"/>
                <w:sz w:val="22"/>
                <w:szCs w:val="22"/>
              </w:rPr>
            </w:pPr>
            <w:r w:rsidRPr="00F348A6">
              <w:rPr>
                <w:rFonts w:cs="Arial"/>
                <w:sz w:val="22"/>
                <w:szCs w:val="22"/>
              </w:rPr>
              <w:t>2 227</w:t>
            </w:r>
          </w:p>
        </w:tc>
        <w:tc>
          <w:tcPr>
            <w:tcW w:w="1420" w:type="dxa"/>
            <w:tcBorders>
              <w:top w:val="single" w:sz="8" w:space="0" w:color="auto"/>
              <w:left w:val="nil"/>
              <w:bottom w:val="double" w:sz="6" w:space="0" w:color="auto"/>
              <w:right w:val="double" w:sz="6" w:space="0" w:color="auto"/>
            </w:tcBorders>
            <w:vAlign w:val="center"/>
            <w:hideMark/>
          </w:tcPr>
          <w:p w:rsidR="00A64035" w:rsidRPr="00F348A6" w:rsidRDefault="00A64035" w:rsidP="0075074A">
            <w:pPr>
              <w:ind w:right="227"/>
              <w:jc w:val="right"/>
              <w:rPr>
                <w:rFonts w:cs="Arial"/>
                <w:sz w:val="22"/>
                <w:szCs w:val="22"/>
              </w:rPr>
            </w:pPr>
            <w:r w:rsidRPr="00F348A6">
              <w:rPr>
                <w:rFonts w:cs="Arial"/>
                <w:sz w:val="22"/>
                <w:szCs w:val="22"/>
              </w:rPr>
              <w:t>2 130</w:t>
            </w:r>
          </w:p>
        </w:tc>
      </w:tr>
      <w:tr w:rsidR="00A64035" w:rsidRPr="00F348A6" w:rsidTr="0075074A">
        <w:trPr>
          <w:trHeight w:val="197"/>
        </w:trPr>
        <w:tc>
          <w:tcPr>
            <w:tcW w:w="7960" w:type="dxa"/>
            <w:gridSpan w:val="3"/>
            <w:tcBorders>
              <w:top w:val="double" w:sz="6" w:space="0" w:color="auto"/>
              <w:left w:val="double" w:sz="6" w:space="0" w:color="auto"/>
              <w:bottom w:val="double" w:sz="6" w:space="0" w:color="auto"/>
              <w:right w:val="double" w:sz="6" w:space="0" w:color="000000"/>
            </w:tcBorders>
            <w:shd w:val="clear" w:color="auto" w:fill="DDDDDD"/>
            <w:noWrap/>
            <w:vAlign w:val="center"/>
            <w:hideMark/>
          </w:tcPr>
          <w:p w:rsidR="00A64035" w:rsidRPr="00F348A6" w:rsidRDefault="00A64035" w:rsidP="0075074A">
            <w:pPr>
              <w:jc w:val="center"/>
              <w:rPr>
                <w:rFonts w:cs="Arial"/>
                <w:b/>
                <w:bCs/>
                <w:sz w:val="22"/>
                <w:szCs w:val="22"/>
              </w:rPr>
            </w:pPr>
            <w:r w:rsidRPr="00F348A6">
              <w:rPr>
                <w:rFonts w:cs="Arial"/>
                <w:b/>
                <w:bCs/>
                <w:sz w:val="22"/>
                <w:szCs w:val="22"/>
              </w:rPr>
              <w:t>Zaměstnanci a OSVČ</w:t>
            </w:r>
          </w:p>
        </w:tc>
      </w:tr>
      <w:tr w:rsidR="00A64035" w:rsidRPr="00F348A6" w:rsidTr="0075074A">
        <w:trPr>
          <w:trHeight w:val="253"/>
        </w:trPr>
        <w:tc>
          <w:tcPr>
            <w:tcW w:w="5120" w:type="dxa"/>
            <w:tcBorders>
              <w:top w:val="nil"/>
              <w:left w:val="double" w:sz="6" w:space="0" w:color="auto"/>
              <w:bottom w:val="single" w:sz="4" w:space="0" w:color="auto"/>
              <w:right w:val="single" w:sz="12" w:space="0" w:color="auto"/>
            </w:tcBorders>
            <w:shd w:val="clear" w:color="auto" w:fill="DDDDDD"/>
            <w:vAlign w:val="center"/>
            <w:hideMark/>
          </w:tcPr>
          <w:p w:rsidR="00A64035" w:rsidRPr="00F348A6" w:rsidRDefault="00A64035" w:rsidP="0075074A">
            <w:pPr>
              <w:jc w:val="both"/>
              <w:rPr>
                <w:rFonts w:cs="Arial"/>
                <w:sz w:val="22"/>
                <w:szCs w:val="22"/>
              </w:rPr>
            </w:pPr>
            <w:r w:rsidRPr="00F348A6">
              <w:rPr>
                <w:rFonts w:cs="Arial"/>
                <w:sz w:val="22"/>
                <w:szCs w:val="22"/>
              </w:rPr>
              <w:t>zaměstnanci</w:t>
            </w:r>
          </w:p>
        </w:tc>
        <w:tc>
          <w:tcPr>
            <w:tcW w:w="1420" w:type="dxa"/>
            <w:tcBorders>
              <w:top w:val="nil"/>
              <w:left w:val="single" w:sz="12" w:space="0" w:color="auto"/>
              <w:bottom w:val="single" w:sz="4" w:space="0" w:color="auto"/>
              <w:right w:val="single" w:sz="8" w:space="0" w:color="auto"/>
            </w:tcBorders>
            <w:vAlign w:val="center"/>
            <w:hideMark/>
          </w:tcPr>
          <w:p w:rsidR="00A64035" w:rsidRPr="00F348A6" w:rsidRDefault="00A64035" w:rsidP="0075074A">
            <w:pPr>
              <w:ind w:right="227"/>
              <w:jc w:val="right"/>
              <w:rPr>
                <w:rFonts w:cs="Arial"/>
                <w:sz w:val="22"/>
                <w:szCs w:val="22"/>
              </w:rPr>
            </w:pPr>
            <w:r w:rsidRPr="00F348A6">
              <w:rPr>
                <w:rFonts w:cs="Arial"/>
                <w:sz w:val="22"/>
                <w:szCs w:val="22"/>
              </w:rPr>
              <w:t>41 453</w:t>
            </w:r>
          </w:p>
        </w:tc>
        <w:tc>
          <w:tcPr>
            <w:tcW w:w="1420" w:type="dxa"/>
            <w:tcBorders>
              <w:top w:val="nil"/>
              <w:left w:val="nil"/>
              <w:bottom w:val="single" w:sz="4" w:space="0" w:color="auto"/>
              <w:right w:val="double" w:sz="6" w:space="0" w:color="auto"/>
            </w:tcBorders>
            <w:vAlign w:val="center"/>
            <w:hideMark/>
          </w:tcPr>
          <w:p w:rsidR="00A64035" w:rsidRPr="00F348A6" w:rsidRDefault="00A64035" w:rsidP="0075074A">
            <w:pPr>
              <w:ind w:right="227"/>
              <w:jc w:val="right"/>
              <w:rPr>
                <w:rFonts w:cs="Arial"/>
                <w:sz w:val="22"/>
                <w:szCs w:val="22"/>
              </w:rPr>
            </w:pPr>
            <w:r w:rsidRPr="00F348A6">
              <w:rPr>
                <w:rFonts w:cs="Arial"/>
                <w:sz w:val="22"/>
                <w:szCs w:val="22"/>
              </w:rPr>
              <w:t>34 706</w:t>
            </w:r>
          </w:p>
        </w:tc>
      </w:tr>
      <w:tr w:rsidR="00A64035" w:rsidRPr="00F348A6" w:rsidTr="0075074A">
        <w:trPr>
          <w:trHeight w:val="253"/>
        </w:trPr>
        <w:tc>
          <w:tcPr>
            <w:tcW w:w="5120" w:type="dxa"/>
            <w:tcBorders>
              <w:top w:val="single" w:sz="4" w:space="0" w:color="auto"/>
              <w:left w:val="double" w:sz="6" w:space="0" w:color="auto"/>
              <w:bottom w:val="single" w:sz="12" w:space="0" w:color="auto"/>
              <w:right w:val="single" w:sz="12" w:space="0" w:color="auto"/>
            </w:tcBorders>
            <w:shd w:val="clear" w:color="auto" w:fill="DDDDDD"/>
            <w:vAlign w:val="center"/>
            <w:hideMark/>
          </w:tcPr>
          <w:p w:rsidR="00A64035" w:rsidRPr="00F348A6" w:rsidRDefault="00A64035" w:rsidP="0075074A">
            <w:pPr>
              <w:jc w:val="both"/>
              <w:rPr>
                <w:rFonts w:cs="Arial"/>
                <w:sz w:val="22"/>
                <w:szCs w:val="22"/>
              </w:rPr>
            </w:pPr>
            <w:r w:rsidRPr="00F348A6">
              <w:rPr>
                <w:rFonts w:cs="Arial"/>
                <w:sz w:val="22"/>
                <w:szCs w:val="22"/>
              </w:rPr>
              <w:t>osoby samostatně výdělečně činné (OSVČ)</w:t>
            </w:r>
          </w:p>
        </w:tc>
        <w:tc>
          <w:tcPr>
            <w:tcW w:w="1420" w:type="dxa"/>
            <w:tcBorders>
              <w:top w:val="single" w:sz="4" w:space="0" w:color="auto"/>
              <w:left w:val="single" w:sz="12" w:space="0" w:color="auto"/>
              <w:bottom w:val="single" w:sz="12" w:space="0" w:color="auto"/>
              <w:right w:val="single" w:sz="8" w:space="0" w:color="auto"/>
            </w:tcBorders>
            <w:vAlign w:val="center"/>
            <w:hideMark/>
          </w:tcPr>
          <w:p w:rsidR="00A64035" w:rsidRPr="00F348A6" w:rsidRDefault="00A64035" w:rsidP="0075074A">
            <w:pPr>
              <w:ind w:right="227"/>
              <w:jc w:val="right"/>
              <w:rPr>
                <w:rFonts w:cs="Arial"/>
                <w:sz w:val="22"/>
                <w:szCs w:val="22"/>
              </w:rPr>
            </w:pPr>
            <w:r w:rsidRPr="00F348A6">
              <w:rPr>
                <w:rFonts w:cs="Arial"/>
                <w:sz w:val="22"/>
                <w:szCs w:val="22"/>
              </w:rPr>
              <w:t>6 882</w:t>
            </w:r>
          </w:p>
        </w:tc>
        <w:tc>
          <w:tcPr>
            <w:tcW w:w="1420" w:type="dxa"/>
            <w:tcBorders>
              <w:top w:val="single" w:sz="4" w:space="0" w:color="auto"/>
              <w:left w:val="nil"/>
              <w:bottom w:val="single" w:sz="12" w:space="0" w:color="auto"/>
              <w:right w:val="double" w:sz="6" w:space="0" w:color="auto"/>
            </w:tcBorders>
            <w:vAlign w:val="center"/>
            <w:hideMark/>
          </w:tcPr>
          <w:p w:rsidR="00A64035" w:rsidRPr="00F348A6" w:rsidRDefault="00A64035" w:rsidP="0075074A">
            <w:pPr>
              <w:ind w:right="227"/>
              <w:jc w:val="right"/>
              <w:rPr>
                <w:rFonts w:cs="Arial"/>
                <w:sz w:val="22"/>
                <w:szCs w:val="22"/>
              </w:rPr>
            </w:pPr>
            <w:r w:rsidRPr="00F348A6">
              <w:rPr>
                <w:rFonts w:cs="Arial"/>
                <w:sz w:val="22"/>
                <w:szCs w:val="22"/>
              </w:rPr>
              <w:t>6 829</w:t>
            </w:r>
            <w:r w:rsidRPr="00F348A6">
              <w:rPr>
                <w:rStyle w:val="Znakapoznpodarou"/>
                <w:rFonts w:cs="Arial"/>
                <w:sz w:val="22"/>
                <w:szCs w:val="22"/>
              </w:rPr>
              <w:footnoteReference w:id="1"/>
            </w:r>
          </w:p>
        </w:tc>
      </w:tr>
      <w:tr w:rsidR="00A64035" w:rsidRPr="00F348A6" w:rsidTr="0075074A">
        <w:trPr>
          <w:trHeight w:val="253"/>
        </w:trPr>
        <w:tc>
          <w:tcPr>
            <w:tcW w:w="5120" w:type="dxa"/>
            <w:tcBorders>
              <w:top w:val="single" w:sz="12" w:space="0" w:color="auto"/>
              <w:left w:val="double" w:sz="6" w:space="0" w:color="auto"/>
              <w:bottom w:val="double" w:sz="6" w:space="0" w:color="auto"/>
              <w:right w:val="single" w:sz="12" w:space="0" w:color="auto"/>
            </w:tcBorders>
            <w:shd w:val="clear" w:color="auto" w:fill="DDDDDD"/>
            <w:vAlign w:val="center"/>
            <w:hideMark/>
          </w:tcPr>
          <w:p w:rsidR="00A64035" w:rsidRPr="00F348A6" w:rsidRDefault="00A64035" w:rsidP="0075074A">
            <w:pPr>
              <w:jc w:val="both"/>
              <w:rPr>
                <w:rFonts w:cs="Arial"/>
                <w:b/>
                <w:bCs/>
                <w:sz w:val="22"/>
                <w:szCs w:val="22"/>
              </w:rPr>
            </w:pPr>
            <w:r w:rsidRPr="00F348A6">
              <w:rPr>
                <w:rFonts w:cs="Arial"/>
                <w:b/>
                <w:bCs/>
                <w:sz w:val="22"/>
                <w:szCs w:val="22"/>
              </w:rPr>
              <w:t>Celková zaměstnanost (zaměstnanci + OSVČ)</w:t>
            </w:r>
          </w:p>
        </w:tc>
        <w:tc>
          <w:tcPr>
            <w:tcW w:w="1420" w:type="dxa"/>
            <w:tcBorders>
              <w:top w:val="single" w:sz="12" w:space="0" w:color="auto"/>
              <w:left w:val="single" w:sz="12" w:space="0" w:color="auto"/>
              <w:bottom w:val="double" w:sz="6" w:space="0" w:color="auto"/>
              <w:right w:val="single" w:sz="8" w:space="0" w:color="auto"/>
            </w:tcBorders>
            <w:vAlign w:val="center"/>
            <w:hideMark/>
          </w:tcPr>
          <w:p w:rsidR="00A64035" w:rsidRPr="00F348A6" w:rsidRDefault="00A64035" w:rsidP="0075074A">
            <w:pPr>
              <w:ind w:right="227"/>
              <w:jc w:val="right"/>
              <w:rPr>
                <w:rFonts w:cs="Arial"/>
                <w:b/>
                <w:sz w:val="22"/>
                <w:szCs w:val="22"/>
              </w:rPr>
            </w:pPr>
            <w:r w:rsidRPr="00F348A6">
              <w:rPr>
                <w:rFonts w:cs="Arial"/>
                <w:b/>
                <w:sz w:val="22"/>
                <w:szCs w:val="22"/>
              </w:rPr>
              <w:t>50 562</w:t>
            </w:r>
          </w:p>
        </w:tc>
        <w:tc>
          <w:tcPr>
            <w:tcW w:w="1420" w:type="dxa"/>
            <w:tcBorders>
              <w:top w:val="single" w:sz="12" w:space="0" w:color="auto"/>
              <w:left w:val="nil"/>
              <w:bottom w:val="double" w:sz="6" w:space="0" w:color="auto"/>
              <w:right w:val="double" w:sz="6" w:space="0" w:color="auto"/>
            </w:tcBorders>
            <w:vAlign w:val="center"/>
            <w:hideMark/>
          </w:tcPr>
          <w:p w:rsidR="00A64035" w:rsidRPr="00F348A6" w:rsidRDefault="00A64035" w:rsidP="0075074A">
            <w:pPr>
              <w:ind w:right="227"/>
              <w:jc w:val="right"/>
              <w:rPr>
                <w:rFonts w:cs="Arial"/>
                <w:b/>
                <w:sz w:val="22"/>
                <w:szCs w:val="22"/>
              </w:rPr>
            </w:pPr>
            <w:r w:rsidRPr="00F348A6">
              <w:rPr>
                <w:rFonts w:cs="Arial"/>
                <w:b/>
                <w:sz w:val="22"/>
                <w:szCs w:val="22"/>
              </w:rPr>
              <w:t>43 665</w:t>
            </w:r>
          </w:p>
        </w:tc>
      </w:tr>
    </w:tbl>
    <w:p w:rsidR="00A64035" w:rsidRDefault="00A64035" w:rsidP="00A64035">
      <w:pPr>
        <w:rPr>
          <w:rFonts w:cs="Arial"/>
          <w:szCs w:val="24"/>
        </w:rPr>
      </w:pPr>
    </w:p>
    <w:p w:rsidR="00A64035" w:rsidRPr="00F348A6" w:rsidRDefault="00A64035" w:rsidP="00A64035">
      <w:pPr>
        <w:rPr>
          <w:rFonts w:cs="Arial"/>
          <w:szCs w:val="24"/>
        </w:rPr>
      </w:pPr>
    </w:p>
    <w:p w:rsidR="00A64035" w:rsidRDefault="00A64035" w:rsidP="00557F1F">
      <w:pPr>
        <w:pStyle w:val="Nadpis2"/>
        <w:numPr>
          <w:ilvl w:val="1"/>
          <w:numId w:val="3"/>
        </w:numPr>
      </w:pPr>
      <w:r>
        <w:t>NEZAMĚSTNANOST</w:t>
      </w:r>
    </w:p>
    <w:p w:rsidR="00A64035" w:rsidRDefault="00A64035" w:rsidP="0075074A">
      <w:pPr>
        <w:pStyle w:val="Nadpis3"/>
      </w:pPr>
      <w:r>
        <w:t>Vývoj nezaměstnanosti</w:t>
      </w:r>
    </w:p>
    <w:p w:rsidR="00A64035" w:rsidRPr="001C6D0B" w:rsidRDefault="00A64035" w:rsidP="00A64035">
      <w:pPr>
        <w:rPr>
          <w:lang w:eastAsia="x-none"/>
        </w:rPr>
      </w:pPr>
    </w:p>
    <w:p w:rsidR="00A64035" w:rsidRPr="00F348A6" w:rsidRDefault="00A64035" w:rsidP="00A64035">
      <w:pPr>
        <w:rPr>
          <w:rFonts w:cs="Arial"/>
          <w:sz w:val="22"/>
          <w:szCs w:val="22"/>
        </w:rPr>
      </w:pPr>
      <w:r w:rsidRPr="00F348A6">
        <w:rPr>
          <w:rFonts w:cs="Arial"/>
          <w:sz w:val="22"/>
          <w:szCs w:val="22"/>
        </w:rPr>
        <w:t>Vývoj základních ukazatelů trhu práce okresu Chomutov (počty nezaměstnaných, míra nezaměstnanosti, volná pracovní místa) naznačuje v 1. až 3. čtvrtletí roku 2011 mírné oživení, ale ve 4. čtvrtletí roku 2011 ukazatele již vykazují známky stagnace:</w:t>
      </w:r>
    </w:p>
    <w:p w:rsidR="00A64035" w:rsidRPr="00F348A6" w:rsidRDefault="00A64035" w:rsidP="00557F1F">
      <w:pPr>
        <w:numPr>
          <w:ilvl w:val="1"/>
          <w:numId w:val="10"/>
        </w:numPr>
        <w:rPr>
          <w:rFonts w:cs="Arial"/>
          <w:sz w:val="22"/>
          <w:szCs w:val="22"/>
        </w:rPr>
      </w:pPr>
      <w:r w:rsidRPr="00F348A6">
        <w:rPr>
          <w:rFonts w:cs="Arial"/>
          <w:sz w:val="22"/>
          <w:szCs w:val="22"/>
        </w:rPr>
        <w:t xml:space="preserve">počet nezaměstnaných se snížil oproti roku 2010 absolutně o 217 (k </w:t>
      </w:r>
      <w:proofErr w:type="gramStart"/>
      <w:r w:rsidRPr="00F348A6">
        <w:rPr>
          <w:rFonts w:cs="Arial"/>
          <w:sz w:val="22"/>
          <w:szCs w:val="22"/>
        </w:rPr>
        <w:t>31.12.2011</w:t>
      </w:r>
      <w:proofErr w:type="gramEnd"/>
      <w:r w:rsidRPr="00F348A6">
        <w:rPr>
          <w:rFonts w:cs="Arial"/>
          <w:sz w:val="22"/>
          <w:szCs w:val="22"/>
        </w:rPr>
        <w:t>)</w:t>
      </w:r>
    </w:p>
    <w:p w:rsidR="00A64035" w:rsidRPr="00F348A6" w:rsidRDefault="00A64035" w:rsidP="00557F1F">
      <w:pPr>
        <w:numPr>
          <w:ilvl w:val="1"/>
          <w:numId w:val="10"/>
        </w:numPr>
        <w:rPr>
          <w:rFonts w:cs="Arial"/>
          <w:sz w:val="22"/>
          <w:szCs w:val="22"/>
        </w:rPr>
      </w:pPr>
      <w:r w:rsidRPr="00F348A6">
        <w:rPr>
          <w:rFonts w:cs="Arial"/>
          <w:sz w:val="22"/>
          <w:szCs w:val="22"/>
        </w:rPr>
        <w:t xml:space="preserve">míra nezaměstnanosti se snížila o 0,1 procentního bodu (k </w:t>
      </w:r>
      <w:proofErr w:type="gramStart"/>
      <w:r w:rsidRPr="00F348A6">
        <w:rPr>
          <w:rFonts w:cs="Arial"/>
          <w:sz w:val="22"/>
          <w:szCs w:val="22"/>
        </w:rPr>
        <w:t>31.12.2011</w:t>
      </w:r>
      <w:proofErr w:type="gramEnd"/>
      <w:r w:rsidRPr="00F348A6">
        <w:rPr>
          <w:rFonts w:cs="Arial"/>
          <w:sz w:val="22"/>
          <w:szCs w:val="22"/>
        </w:rPr>
        <w:t>)</w:t>
      </w:r>
    </w:p>
    <w:p w:rsidR="00A64035" w:rsidRPr="00F348A6" w:rsidRDefault="00A64035" w:rsidP="00557F1F">
      <w:pPr>
        <w:numPr>
          <w:ilvl w:val="1"/>
          <w:numId w:val="10"/>
        </w:numPr>
        <w:rPr>
          <w:rFonts w:cs="Arial"/>
          <w:sz w:val="22"/>
          <w:szCs w:val="22"/>
        </w:rPr>
      </w:pPr>
      <w:r w:rsidRPr="00F348A6">
        <w:rPr>
          <w:rFonts w:cs="Arial"/>
          <w:sz w:val="22"/>
          <w:szCs w:val="22"/>
        </w:rPr>
        <w:t xml:space="preserve">počet volných míst se snížil v meziročním srovnání o 27 (k </w:t>
      </w:r>
      <w:proofErr w:type="gramStart"/>
      <w:r w:rsidRPr="00F348A6">
        <w:rPr>
          <w:rFonts w:cs="Arial"/>
          <w:sz w:val="22"/>
          <w:szCs w:val="22"/>
        </w:rPr>
        <w:t>31.12.2011</w:t>
      </w:r>
      <w:proofErr w:type="gramEnd"/>
      <w:r w:rsidRPr="00F348A6">
        <w:rPr>
          <w:rFonts w:cs="Arial"/>
          <w:sz w:val="22"/>
          <w:szCs w:val="22"/>
        </w:rPr>
        <w:t xml:space="preserve">); celkový počet nabízených volných pracovních míst byl v roce 2011 o 590 vyšší než v roce 2010 (průměrný měsíční počet nabízených volných míst vzrostl na 364 oproti 315 </w:t>
      </w:r>
      <w:r w:rsidRPr="00F348A6">
        <w:rPr>
          <w:rFonts w:cs="Arial"/>
          <w:sz w:val="22"/>
          <w:szCs w:val="22"/>
        </w:rPr>
        <w:br/>
        <w:t>v roce 2010)</w:t>
      </w:r>
    </w:p>
    <w:p w:rsidR="00A64035" w:rsidRPr="00F348A6" w:rsidRDefault="00A64035" w:rsidP="00A64035">
      <w:pPr>
        <w:rPr>
          <w:rFonts w:cs="Arial"/>
          <w:sz w:val="22"/>
          <w:szCs w:val="22"/>
        </w:rPr>
      </w:pPr>
    </w:p>
    <w:p w:rsidR="00A64035" w:rsidRDefault="00A64035" w:rsidP="00A64035">
      <w:pPr>
        <w:jc w:val="both"/>
        <w:rPr>
          <w:rFonts w:ascii="Times New Roman" w:hAnsi="Times New Roman"/>
        </w:rPr>
      </w:pPr>
    </w:p>
    <w:p w:rsidR="00A64035" w:rsidRDefault="00A64035" w:rsidP="00A64035">
      <w:pPr>
        <w:jc w:val="center"/>
        <w:rPr>
          <w:rFonts w:ascii="Times New Roman" w:hAnsi="Times New Roman"/>
        </w:rPr>
      </w:pPr>
      <w:r>
        <w:rPr>
          <w:noProof/>
          <w:szCs w:val="24"/>
        </w:rPr>
        <w:drawing>
          <wp:inline distT="0" distB="0" distL="0" distR="0" wp14:anchorId="3DCBE046" wp14:editId="5167BD56">
            <wp:extent cx="4581525" cy="2752725"/>
            <wp:effectExtent l="0" t="0" r="0" b="0"/>
            <wp:docPr id="11"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4035" w:rsidRDefault="00A64035" w:rsidP="00A64035">
      <w:pPr>
        <w:pStyle w:val="Zhlav"/>
        <w:tabs>
          <w:tab w:val="left" w:pos="708"/>
        </w:tabs>
        <w:rPr>
          <w:rFonts w:ascii="Calibri" w:hAnsi="Calibri" w:cs="Calibri"/>
          <w:sz w:val="22"/>
          <w:szCs w:val="22"/>
        </w:rPr>
      </w:pPr>
    </w:p>
    <w:p w:rsidR="00A64035" w:rsidRDefault="00A64035" w:rsidP="00A64035">
      <w:pPr>
        <w:pStyle w:val="Zhlav"/>
        <w:tabs>
          <w:tab w:val="left" w:pos="708"/>
        </w:tabs>
        <w:jc w:val="center"/>
      </w:pPr>
      <w:r>
        <w:rPr>
          <w:noProof/>
        </w:rPr>
        <w:lastRenderedPageBreak/>
        <w:drawing>
          <wp:inline distT="0" distB="0" distL="0" distR="0" wp14:anchorId="13D77944" wp14:editId="4C53E431">
            <wp:extent cx="4581525" cy="2752725"/>
            <wp:effectExtent l="0" t="0" r="0" b="0"/>
            <wp:docPr id="10"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4035" w:rsidRDefault="00A64035" w:rsidP="00A64035">
      <w:pPr>
        <w:pStyle w:val="Zhlav"/>
        <w:tabs>
          <w:tab w:val="left" w:pos="708"/>
        </w:tabs>
        <w:jc w:val="center"/>
        <w:rPr>
          <w:rFonts w:ascii="Calibri" w:hAnsi="Calibri" w:cs="Calibri"/>
          <w:sz w:val="22"/>
          <w:szCs w:val="22"/>
        </w:rPr>
      </w:pPr>
    </w:p>
    <w:p w:rsidR="00A64035" w:rsidRPr="00F348A6" w:rsidRDefault="00A64035" w:rsidP="00A64035">
      <w:pPr>
        <w:rPr>
          <w:rFonts w:cs="Arial"/>
          <w:sz w:val="22"/>
          <w:szCs w:val="22"/>
        </w:rPr>
      </w:pPr>
      <w:r w:rsidRPr="00F348A6">
        <w:rPr>
          <w:rFonts w:cs="Arial"/>
          <w:sz w:val="22"/>
          <w:szCs w:val="22"/>
        </w:rPr>
        <w:t xml:space="preserve">Vývojové trendy ovlivnila reakce zaměstnavatelských subjektů na pokračující celosvětovou finanční a hospodářskou krizi a dále oslabení zemí eurozóny (zejména snížení exportu </w:t>
      </w:r>
      <w:r w:rsidRPr="00F348A6">
        <w:rPr>
          <w:rFonts w:cs="Arial"/>
          <w:sz w:val="22"/>
          <w:szCs w:val="22"/>
        </w:rPr>
        <w:br/>
        <w:t>do SRN), což vzhledem k příhraniční poloze okresu znamenalo další útlum prorůstového potenciálu firem a s tím spojené tvorby nových pracovních příležitostí popř. zachování stávajících pracovních pozic.</w:t>
      </w:r>
    </w:p>
    <w:p w:rsidR="00A64035" w:rsidRDefault="00A64035" w:rsidP="00A64035">
      <w:pPr>
        <w:jc w:val="both"/>
        <w:rPr>
          <w:rFonts w:ascii="Times New Roman" w:hAnsi="Times New Roman"/>
        </w:rPr>
      </w:pPr>
    </w:p>
    <w:p w:rsidR="00A64035" w:rsidRDefault="00A64035" w:rsidP="0075074A">
      <w:pPr>
        <w:pStyle w:val="Nadpis3"/>
      </w:pPr>
      <w:r>
        <w:t>Absolventi škol a mladiství</w:t>
      </w:r>
    </w:p>
    <w:p w:rsidR="00A64035" w:rsidRPr="00F348A6" w:rsidRDefault="00A64035" w:rsidP="00A64035">
      <w:pPr>
        <w:rPr>
          <w:lang w:eastAsia="x-none"/>
        </w:rPr>
      </w:pPr>
    </w:p>
    <w:p w:rsidR="00A64035" w:rsidRPr="00F348A6" w:rsidRDefault="00A64035" w:rsidP="00A64035">
      <w:pPr>
        <w:rPr>
          <w:rFonts w:cs="Arial"/>
          <w:sz w:val="22"/>
          <w:szCs w:val="22"/>
        </w:rPr>
      </w:pPr>
      <w:r w:rsidRPr="00F348A6">
        <w:rPr>
          <w:rFonts w:cs="Arial"/>
          <w:sz w:val="22"/>
          <w:szCs w:val="22"/>
        </w:rPr>
        <w:t>Meziroční srovnávané údaje signalizují růst počtu evidovaných absolventů a mladistvých oproti minulému období:</w:t>
      </w:r>
    </w:p>
    <w:p w:rsidR="00A64035" w:rsidRPr="00F348A6" w:rsidRDefault="00A64035" w:rsidP="00557F1F">
      <w:pPr>
        <w:numPr>
          <w:ilvl w:val="1"/>
          <w:numId w:val="11"/>
        </w:numPr>
        <w:ind w:left="723"/>
        <w:rPr>
          <w:rFonts w:cs="Arial"/>
          <w:sz w:val="22"/>
          <w:szCs w:val="22"/>
        </w:rPr>
      </w:pPr>
      <w:r w:rsidRPr="00F348A6">
        <w:rPr>
          <w:rFonts w:cs="Arial"/>
          <w:sz w:val="22"/>
          <w:szCs w:val="22"/>
        </w:rPr>
        <w:t xml:space="preserve">počet uchazečů o zaměstnání z řad absolventů a mladistvých vzrostl oproti roku 2010 absolutně o 21 (k </w:t>
      </w:r>
      <w:proofErr w:type="gramStart"/>
      <w:r w:rsidRPr="00F348A6">
        <w:rPr>
          <w:rFonts w:cs="Arial"/>
          <w:sz w:val="22"/>
          <w:szCs w:val="22"/>
        </w:rPr>
        <w:t>31.12.2011</w:t>
      </w:r>
      <w:proofErr w:type="gramEnd"/>
      <w:r w:rsidRPr="00F348A6">
        <w:rPr>
          <w:rFonts w:cs="Arial"/>
          <w:sz w:val="22"/>
          <w:szCs w:val="22"/>
        </w:rPr>
        <w:t>)</w:t>
      </w:r>
    </w:p>
    <w:p w:rsidR="00A64035" w:rsidRPr="00F348A6" w:rsidRDefault="00A64035" w:rsidP="00557F1F">
      <w:pPr>
        <w:numPr>
          <w:ilvl w:val="1"/>
          <w:numId w:val="11"/>
        </w:numPr>
        <w:ind w:left="723"/>
        <w:rPr>
          <w:rFonts w:cs="Arial"/>
          <w:sz w:val="22"/>
          <w:szCs w:val="22"/>
        </w:rPr>
      </w:pPr>
      <w:r w:rsidRPr="00F348A6">
        <w:rPr>
          <w:rFonts w:cs="Arial"/>
          <w:sz w:val="22"/>
          <w:szCs w:val="22"/>
        </w:rPr>
        <w:t xml:space="preserve">podíl registrovaných absolventů a mladistvých na celkovém počtu nezaměstnaných vzrostl o 0,3 procentního bodu (5,6 </w:t>
      </w:r>
      <w:r w:rsidRPr="00F348A6">
        <w:rPr>
          <w:rFonts w:cs="Arial"/>
          <w:sz w:val="22"/>
          <w:szCs w:val="22"/>
          <w:lang w:val="en-US"/>
        </w:rPr>
        <w:t>%</w:t>
      </w:r>
      <w:r w:rsidRPr="00F348A6">
        <w:rPr>
          <w:rFonts w:cs="Arial"/>
          <w:sz w:val="22"/>
          <w:szCs w:val="22"/>
        </w:rPr>
        <w:t xml:space="preserve"> oproti 5,3 </w:t>
      </w:r>
      <w:r w:rsidRPr="00F348A6">
        <w:rPr>
          <w:rFonts w:cs="Arial"/>
          <w:sz w:val="22"/>
          <w:szCs w:val="22"/>
          <w:lang w:val="en-US"/>
        </w:rPr>
        <w:t xml:space="preserve">% </w:t>
      </w:r>
      <w:r w:rsidRPr="00F348A6">
        <w:rPr>
          <w:rFonts w:cs="Arial"/>
          <w:sz w:val="22"/>
          <w:szCs w:val="22"/>
        </w:rPr>
        <w:t>v roce 2010)</w:t>
      </w:r>
    </w:p>
    <w:p w:rsidR="00A64035" w:rsidRPr="00F348A6" w:rsidRDefault="00A64035" w:rsidP="0075074A">
      <w:pPr>
        <w:pStyle w:val="Nadpis3"/>
        <w:numPr>
          <w:ilvl w:val="0"/>
          <w:numId w:val="0"/>
        </w:numPr>
      </w:pPr>
      <w:r w:rsidRPr="00F348A6">
        <w:t>Struktura a vývoj evidovaných uchazečů (absolventů a mladistvých) podle nejvyššího dosaženého vzdělání se dotýká dílčích vzdělanostních kategorií:</w:t>
      </w:r>
    </w:p>
    <w:p w:rsidR="00A64035" w:rsidRPr="00F348A6" w:rsidRDefault="00A64035" w:rsidP="00557F1F">
      <w:pPr>
        <w:numPr>
          <w:ilvl w:val="0"/>
          <w:numId w:val="12"/>
        </w:numPr>
        <w:ind w:left="723"/>
        <w:rPr>
          <w:rFonts w:cs="Arial"/>
          <w:sz w:val="22"/>
          <w:szCs w:val="22"/>
        </w:rPr>
      </w:pPr>
      <w:r w:rsidRPr="00F348A6">
        <w:rPr>
          <w:rFonts w:cs="Arial"/>
          <w:sz w:val="22"/>
          <w:szCs w:val="22"/>
        </w:rPr>
        <w:t>největší dynamika nárůstu je patrná u základního vzdělání, středního odborného vzdělání zakončeného výučním listem a bakalářského stupně vzdělání</w:t>
      </w:r>
    </w:p>
    <w:p w:rsidR="00A64035" w:rsidRPr="00F348A6" w:rsidRDefault="00A64035" w:rsidP="00557F1F">
      <w:pPr>
        <w:numPr>
          <w:ilvl w:val="0"/>
          <w:numId w:val="12"/>
        </w:numPr>
        <w:ind w:left="723"/>
        <w:rPr>
          <w:rFonts w:cs="Arial"/>
          <w:sz w:val="22"/>
          <w:szCs w:val="22"/>
        </w:rPr>
      </w:pPr>
      <w:r w:rsidRPr="00F348A6">
        <w:rPr>
          <w:rFonts w:cs="Arial"/>
          <w:sz w:val="22"/>
          <w:szCs w:val="22"/>
        </w:rPr>
        <w:t>naopak markantní snížení můžeme pozorovat u vyučených s maturitou a oborů zakončených maturitní zkouškou</w:t>
      </w:r>
    </w:p>
    <w:p w:rsidR="00A64035" w:rsidRDefault="00A64035" w:rsidP="00A64035">
      <w:pPr>
        <w:jc w:val="both"/>
        <w:rPr>
          <w:rFonts w:ascii="Times New Roman" w:hAnsi="Times New Roman"/>
        </w:rPr>
      </w:pPr>
    </w:p>
    <w:p w:rsidR="00A64035" w:rsidRDefault="00A64035" w:rsidP="00A64035">
      <w:pPr>
        <w:pStyle w:val="Zkladntext2"/>
        <w:jc w:val="both"/>
        <w:rPr>
          <w:rFonts w:ascii="Calibri" w:hAnsi="Calibri" w:cs="Calibri"/>
          <w:sz w:val="22"/>
          <w:szCs w:val="22"/>
        </w:rPr>
      </w:pPr>
    </w:p>
    <w:tbl>
      <w:tblPr>
        <w:tblW w:w="8060" w:type="dxa"/>
        <w:jc w:val="center"/>
        <w:tblInd w:w="47" w:type="dxa"/>
        <w:tblCellMar>
          <w:left w:w="70" w:type="dxa"/>
          <w:right w:w="70" w:type="dxa"/>
        </w:tblCellMar>
        <w:tblLook w:val="04A0" w:firstRow="1" w:lastRow="0" w:firstColumn="1" w:lastColumn="0" w:noHBand="0" w:noVBand="1"/>
      </w:tblPr>
      <w:tblGrid>
        <w:gridCol w:w="5307"/>
        <w:gridCol w:w="1418"/>
        <w:gridCol w:w="1335"/>
      </w:tblGrid>
      <w:tr w:rsidR="00A64035" w:rsidTr="0075074A">
        <w:trPr>
          <w:trHeight w:val="315"/>
          <w:jc w:val="center"/>
        </w:trPr>
        <w:tc>
          <w:tcPr>
            <w:tcW w:w="5307" w:type="dxa"/>
            <w:tcBorders>
              <w:top w:val="double" w:sz="6" w:space="0" w:color="auto"/>
              <w:left w:val="double" w:sz="6" w:space="0" w:color="auto"/>
              <w:bottom w:val="single" w:sz="4" w:space="0" w:color="auto"/>
              <w:right w:val="single" w:sz="4" w:space="0" w:color="auto"/>
            </w:tcBorders>
            <w:noWrap/>
            <w:vAlign w:val="bottom"/>
            <w:hideMark/>
          </w:tcPr>
          <w:p w:rsidR="00A64035" w:rsidRPr="00F348A6" w:rsidRDefault="00A64035" w:rsidP="0075074A">
            <w:pPr>
              <w:jc w:val="center"/>
              <w:rPr>
                <w:rFonts w:cs="Arial"/>
                <w:b/>
                <w:bCs/>
                <w:color w:val="000000"/>
                <w:sz w:val="22"/>
                <w:szCs w:val="22"/>
              </w:rPr>
            </w:pPr>
            <w:r w:rsidRPr="00F348A6">
              <w:rPr>
                <w:rFonts w:cs="Arial"/>
                <w:b/>
                <w:bCs/>
                <w:color w:val="000000"/>
                <w:sz w:val="22"/>
                <w:szCs w:val="22"/>
              </w:rPr>
              <w:t>kategorie vzdělání</w:t>
            </w:r>
          </w:p>
        </w:tc>
        <w:tc>
          <w:tcPr>
            <w:tcW w:w="1418" w:type="dxa"/>
            <w:tcBorders>
              <w:top w:val="double" w:sz="6" w:space="0" w:color="auto"/>
              <w:left w:val="nil"/>
              <w:bottom w:val="single" w:sz="4" w:space="0" w:color="auto"/>
              <w:right w:val="single" w:sz="4" w:space="0" w:color="auto"/>
            </w:tcBorders>
            <w:noWrap/>
            <w:vAlign w:val="bottom"/>
            <w:hideMark/>
          </w:tcPr>
          <w:p w:rsidR="00A64035" w:rsidRPr="00F348A6" w:rsidRDefault="00A64035" w:rsidP="0075074A">
            <w:pPr>
              <w:jc w:val="center"/>
              <w:rPr>
                <w:rFonts w:cs="Arial"/>
                <w:b/>
                <w:bCs/>
                <w:color w:val="000000"/>
                <w:sz w:val="22"/>
                <w:szCs w:val="22"/>
              </w:rPr>
            </w:pPr>
            <w:r w:rsidRPr="00F348A6">
              <w:rPr>
                <w:rFonts w:cs="Arial"/>
                <w:b/>
                <w:bCs/>
                <w:color w:val="000000"/>
                <w:sz w:val="22"/>
                <w:szCs w:val="22"/>
              </w:rPr>
              <w:t xml:space="preserve">k </w:t>
            </w:r>
            <w:proofErr w:type="gramStart"/>
            <w:r w:rsidRPr="00F348A6">
              <w:rPr>
                <w:rFonts w:cs="Arial"/>
                <w:b/>
                <w:bCs/>
                <w:color w:val="000000"/>
                <w:sz w:val="22"/>
                <w:szCs w:val="22"/>
              </w:rPr>
              <w:t>30.9.2010</w:t>
            </w:r>
            <w:proofErr w:type="gramEnd"/>
          </w:p>
        </w:tc>
        <w:tc>
          <w:tcPr>
            <w:tcW w:w="1335" w:type="dxa"/>
            <w:tcBorders>
              <w:top w:val="double" w:sz="6" w:space="0" w:color="auto"/>
              <w:left w:val="nil"/>
              <w:bottom w:val="single" w:sz="4" w:space="0" w:color="auto"/>
              <w:right w:val="double" w:sz="6" w:space="0" w:color="auto"/>
            </w:tcBorders>
            <w:noWrap/>
            <w:vAlign w:val="bottom"/>
            <w:hideMark/>
          </w:tcPr>
          <w:p w:rsidR="00A64035" w:rsidRPr="00F348A6" w:rsidRDefault="00A64035" w:rsidP="0075074A">
            <w:pPr>
              <w:jc w:val="center"/>
              <w:rPr>
                <w:rFonts w:cs="Arial"/>
                <w:b/>
                <w:bCs/>
                <w:color w:val="000000"/>
                <w:sz w:val="22"/>
                <w:szCs w:val="22"/>
              </w:rPr>
            </w:pPr>
            <w:r w:rsidRPr="00F348A6">
              <w:rPr>
                <w:rFonts w:cs="Arial"/>
                <w:b/>
                <w:bCs/>
                <w:color w:val="000000"/>
                <w:sz w:val="22"/>
                <w:szCs w:val="22"/>
              </w:rPr>
              <w:t xml:space="preserve">k </w:t>
            </w:r>
            <w:proofErr w:type="gramStart"/>
            <w:r w:rsidRPr="00F348A6">
              <w:rPr>
                <w:rFonts w:cs="Arial"/>
                <w:b/>
                <w:bCs/>
                <w:color w:val="000000"/>
                <w:sz w:val="22"/>
                <w:szCs w:val="22"/>
              </w:rPr>
              <w:t>30.9.2011</w:t>
            </w:r>
            <w:proofErr w:type="gramEnd"/>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A+B Bez vzdělání nebo Neúplné základní vzdělání</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13</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11</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C Základní vzdělání</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112</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122</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D Nižší střední</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0</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0</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E Nižší střední odborné</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32</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37</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H Střední odborné (vyučen)</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114</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130</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 xml:space="preserve">J Střední nebo střední odborné bez maturity </w:t>
            </w:r>
            <w:r w:rsidR="0075074A">
              <w:rPr>
                <w:rFonts w:cs="Arial"/>
                <w:color w:val="000000"/>
                <w:sz w:val="22"/>
                <w:szCs w:val="22"/>
              </w:rPr>
              <w:br/>
            </w:r>
            <w:r w:rsidRPr="00F348A6">
              <w:rPr>
                <w:rFonts w:cs="Arial"/>
                <w:color w:val="000000"/>
                <w:sz w:val="22"/>
                <w:szCs w:val="22"/>
              </w:rPr>
              <w:t>a bez vyučení</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0</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0</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K ÚSV</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22</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12</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lastRenderedPageBreak/>
              <w:t>L ÚSO (vyučení s maturitou)</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67</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40</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M ÚSO s maturitou (bez vyučení)</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137</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108</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N Vyšší odborné</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10</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18</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R Bakalářské</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10</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27</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T Vysokoškolské</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21</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24</w:t>
            </w:r>
          </w:p>
        </w:tc>
      </w:tr>
      <w:tr w:rsidR="00A64035" w:rsidTr="0075074A">
        <w:trPr>
          <w:trHeight w:val="300"/>
          <w:jc w:val="center"/>
        </w:trPr>
        <w:tc>
          <w:tcPr>
            <w:tcW w:w="5307" w:type="dxa"/>
            <w:tcBorders>
              <w:top w:val="nil"/>
              <w:left w:val="double" w:sz="6" w:space="0" w:color="auto"/>
              <w:bottom w:val="single" w:sz="4" w:space="0" w:color="auto"/>
              <w:right w:val="single" w:sz="4" w:space="0" w:color="auto"/>
            </w:tcBorders>
            <w:noWrap/>
            <w:vAlign w:val="bottom"/>
            <w:hideMark/>
          </w:tcPr>
          <w:p w:rsidR="00A64035" w:rsidRPr="00F348A6" w:rsidRDefault="00A64035" w:rsidP="0075074A">
            <w:pPr>
              <w:rPr>
                <w:rFonts w:cs="Arial"/>
                <w:color w:val="000000"/>
                <w:sz w:val="22"/>
                <w:szCs w:val="22"/>
              </w:rPr>
            </w:pPr>
            <w:r w:rsidRPr="00F348A6">
              <w:rPr>
                <w:rFonts w:cs="Arial"/>
                <w:color w:val="000000"/>
                <w:sz w:val="22"/>
                <w:szCs w:val="22"/>
              </w:rPr>
              <w:t>V Doktorské (vědecká výchova)</w:t>
            </w:r>
          </w:p>
        </w:tc>
        <w:tc>
          <w:tcPr>
            <w:tcW w:w="1418" w:type="dxa"/>
            <w:tcBorders>
              <w:top w:val="nil"/>
              <w:left w:val="nil"/>
              <w:bottom w:val="single" w:sz="4" w:space="0" w:color="auto"/>
              <w:right w:val="single" w:sz="4"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0</w:t>
            </w:r>
          </w:p>
        </w:tc>
        <w:tc>
          <w:tcPr>
            <w:tcW w:w="1335" w:type="dxa"/>
            <w:tcBorders>
              <w:top w:val="nil"/>
              <w:left w:val="nil"/>
              <w:bottom w:val="single" w:sz="4" w:space="0" w:color="auto"/>
              <w:right w:val="double" w:sz="6" w:space="0" w:color="auto"/>
            </w:tcBorders>
            <w:noWrap/>
            <w:vAlign w:val="bottom"/>
            <w:hideMark/>
          </w:tcPr>
          <w:p w:rsidR="00A64035" w:rsidRPr="00F348A6" w:rsidRDefault="00A64035" w:rsidP="0075074A">
            <w:pPr>
              <w:ind w:firstLineChars="300" w:firstLine="660"/>
              <w:jc w:val="right"/>
              <w:rPr>
                <w:rFonts w:cs="Arial"/>
                <w:color w:val="000000"/>
                <w:sz w:val="22"/>
                <w:szCs w:val="22"/>
              </w:rPr>
            </w:pPr>
            <w:r w:rsidRPr="00F348A6">
              <w:rPr>
                <w:rFonts w:cs="Arial"/>
                <w:color w:val="000000"/>
                <w:sz w:val="22"/>
                <w:szCs w:val="22"/>
              </w:rPr>
              <w:t>1</w:t>
            </w:r>
          </w:p>
        </w:tc>
      </w:tr>
      <w:tr w:rsidR="00A64035" w:rsidTr="0075074A">
        <w:trPr>
          <w:trHeight w:val="315"/>
          <w:jc w:val="center"/>
        </w:trPr>
        <w:tc>
          <w:tcPr>
            <w:tcW w:w="5307" w:type="dxa"/>
            <w:tcBorders>
              <w:top w:val="nil"/>
              <w:left w:val="double" w:sz="6" w:space="0" w:color="auto"/>
              <w:bottom w:val="double" w:sz="6" w:space="0" w:color="auto"/>
              <w:right w:val="single" w:sz="4" w:space="0" w:color="auto"/>
            </w:tcBorders>
            <w:noWrap/>
            <w:vAlign w:val="bottom"/>
            <w:hideMark/>
          </w:tcPr>
          <w:p w:rsidR="00A64035" w:rsidRPr="00F348A6" w:rsidRDefault="00A64035" w:rsidP="0075074A">
            <w:pPr>
              <w:rPr>
                <w:rFonts w:cs="Arial"/>
                <w:b/>
                <w:bCs/>
                <w:color w:val="000000"/>
                <w:sz w:val="22"/>
                <w:szCs w:val="22"/>
              </w:rPr>
            </w:pPr>
            <w:r w:rsidRPr="00F348A6">
              <w:rPr>
                <w:rFonts w:cs="Arial"/>
                <w:b/>
                <w:bCs/>
                <w:color w:val="000000"/>
                <w:sz w:val="22"/>
                <w:szCs w:val="22"/>
              </w:rPr>
              <w:t>CELKEM</w:t>
            </w:r>
          </w:p>
        </w:tc>
        <w:tc>
          <w:tcPr>
            <w:tcW w:w="1418" w:type="dxa"/>
            <w:tcBorders>
              <w:top w:val="nil"/>
              <w:left w:val="nil"/>
              <w:bottom w:val="double" w:sz="6" w:space="0" w:color="auto"/>
              <w:right w:val="single" w:sz="4" w:space="0" w:color="auto"/>
            </w:tcBorders>
            <w:noWrap/>
            <w:vAlign w:val="bottom"/>
            <w:hideMark/>
          </w:tcPr>
          <w:p w:rsidR="00A64035" w:rsidRPr="00F348A6" w:rsidRDefault="00A64035" w:rsidP="0075074A">
            <w:pPr>
              <w:ind w:firstLineChars="300" w:firstLine="663"/>
              <w:jc w:val="right"/>
              <w:rPr>
                <w:rFonts w:cs="Arial"/>
                <w:b/>
                <w:bCs/>
                <w:color w:val="000000"/>
                <w:sz w:val="22"/>
                <w:szCs w:val="22"/>
              </w:rPr>
            </w:pPr>
            <w:r w:rsidRPr="00F348A6">
              <w:rPr>
                <w:rFonts w:cs="Arial"/>
                <w:b/>
                <w:bCs/>
                <w:color w:val="000000"/>
                <w:sz w:val="22"/>
                <w:szCs w:val="22"/>
              </w:rPr>
              <w:t>538</w:t>
            </w:r>
          </w:p>
        </w:tc>
        <w:tc>
          <w:tcPr>
            <w:tcW w:w="1335" w:type="dxa"/>
            <w:tcBorders>
              <w:top w:val="nil"/>
              <w:left w:val="nil"/>
              <w:bottom w:val="double" w:sz="6" w:space="0" w:color="auto"/>
              <w:right w:val="double" w:sz="6" w:space="0" w:color="auto"/>
            </w:tcBorders>
            <w:noWrap/>
            <w:vAlign w:val="bottom"/>
            <w:hideMark/>
          </w:tcPr>
          <w:p w:rsidR="00A64035" w:rsidRPr="00F348A6" w:rsidRDefault="00A64035" w:rsidP="0075074A">
            <w:pPr>
              <w:ind w:firstLineChars="300" w:firstLine="663"/>
              <w:jc w:val="right"/>
              <w:rPr>
                <w:rFonts w:cs="Arial"/>
                <w:b/>
                <w:bCs/>
                <w:color w:val="000000"/>
                <w:sz w:val="22"/>
                <w:szCs w:val="22"/>
              </w:rPr>
            </w:pPr>
            <w:r w:rsidRPr="00F348A6">
              <w:rPr>
                <w:rFonts w:cs="Arial"/>
                <w:b/>
                <w:bCs/>
                <w:color w:val="000000"/>
                <w:sz w:val="22"/>
                <w:szCs w:val="22"/>
              </w:rPr>
              <w:t>530</w:t>
            </w:r>
          </w:p>
        </w:tc>
      </w:tr>
    </w:tbl>
    <w:p w:rsidR="00A64035" w:rsidRDefault="00A64035" w:rsidP="00A64035">
      <w:pPr>
        <w:pStyle w:val="Zkladntext2"/>
        <w:jc w:val="both"/>
        <w:rPr>
          <w:rFonts w:ascii="Calibri" w:hAnsi="Calibri" w:cs="Calibri"/>
          <w:sz w:val="22"/>
          <w:szCs w:val="22"/>
        </w:rPr>
      </w:pPr>
    </w:p>
    <w:p w:rsidR="00A64035" w:rsidRPr="00F348A6" w:rsidRDefault="00A64035" w:rsidP="00A64035">
      <w:pPr>
        <w:rPr>
          <w:rFonts w:cs="Arial"/>
          <w:sz w:val="22"/>
          <w:szCs w:val="22"/>
        </w:rPr>
      </w:pPr>
      <w:r w:rsidRPr="00F348A6">
        <w:rPr>
          <w:rFonts w:cs="Arial"/>
          <w:sz w:val="22"/>
          <w:szCs w:val="22"/>
        </w:rPr>
        <w:t>Z celkového pohledu na uplatnitelnost této kategorie uchazečů na trhu práce zůstávají nejproblémovější absolventi oborů obchod (s nižším středním vzděláním, vyučení a vyučení s maturitou) a gastronomie, hotelnictví a turismus (vyučení a středoškoláci s maturitou).</w:t>
      </w:r>
    </w:p>
    <w:p w:rsidR="00A64035" w:rsidRPr="00F348A6" w:rsidRDefault="00A64035" w:rsidP="00A64035">
      <w:pPr>
        <w:rPr>
          <w:rFonts w:cs="Arial"/>
          <w:sz w:val="22"/>
          <w:szCs w:val="22"/>
        </w:rPr>
      </w:pPr>
      <w:r w:rsidRPr="00F348A6">
        <w:rPr>
          <w:rFonts w:cs="Arial"/>
          <w:sz w:val="22"/>
          <w:szCs w:val="22"/>
        </w:rPr>
        <w:t xml:space="preserve">Nepříznivé parametry (vysoký podíl evidovaných při meziročním nárůstu) mají absolventi učebních oborů stavebnictví, pedagogických oborů, sociální péče a zdravotnictví. </w:t>
      </w:r>
    </w:p>
    <w:p w:rsidR="00A64035" w:rsidRDefault="00A64035" w:rsidP="00A64035">
      <w:pPr>
        <w:rPr>
          <w:lang w:eastAsia="x-none"/>
        </w:rPr>
      </w:pPr>
    </w:p>
    <w:p w:rsidR="00A64035" w:rsidRDefault="00A64035" w:rsidP="0075074A">
      <w:pPr>
        <w:pStyle w:val="Nadpis3"/>
      </w:pPr>
      <w:r>
        <w:t>Osoby se zdravotním postižením</w:t>
      </w:r>
    </w:p>
    <w:p w:rsidR="00A64035" w:rsidRPr="00F348A6" w:rsidRDefault="00A64035" w:rsidP="00A64035">
      <w:pPr>
        <w:rPr>
          <w:lang w:eastAsia="x-none"/>
        </w:rPr>
      </w:pPr>
    </w:p>
    <w:p w:rsidR="00A64035" w:rsidRPr="00F348A6" w:rsidRDefault="00A64035" w:rsidP="00A64035">
      <w:pPr>
        <w:pStyle w:val="Zkladntext2"/>
        <w:rPr>
          <w:rFonts w:ascii="Arial" w:hAnsi="Arial" w:cs="Arial"/>
          <w:b w:val="0"/>
          <w:sz w:val="22"/>
          <w:szCs w:val="22"/>
        </w:rPr>
      </w:pPr>
      <w:r w:rsidRPr="00F348A6">
        <w:rPr>
          <w:rFonts w:ascii="Arial" w:hAnsi="Arial" w:cs="Arial"/>
          <w:b w:val="0"/>
          <w:sz w:val="22"/>
          <w:szCs w:val="22"/>
        </w:rPr>
        <w:t xml:space="preserve">Podíl osob se zdravotním postižením dlouhodobě osciluje mezi 11 % až 12 %, čímž se okres Chomutov řadí mezi regiony s nižším podílem na nezaměstnanosti této rizikové skupiny (ČR k 31.12.2011 = 12,4 </w:t>
      </w:r>
      <w:r w:rsidRPr="00F348A6">
        <w:rPr>
          <w:rFonts w:ascii="Arial" w:hAnsi="Arial" w:cs="Arial"/>
          <w:b w:val="0"/>
          <w:sz w:val="22"/>
          <w:szCs w:val="22"/>
          <w:lang w:val="en-US"/>
        </w:rPr>
        <w:t>%</w:t>
      </w:r>
      <w:r w:rsidRPr="00F348A6">
        <w:rPr>
          <w:rFonts w:ascii="Arial" w:hAnsi="Arial" w:cs="Arial"/>
          <w:b w:val="0"/>
          <w:sz w:val="22"/>
          <w:szCs w:val="22"/>
        </w:rPr>
        <w:t xml:space="preserve">). Přes veškeré aktivity ÚP, které se zaměřují na návrat OZP </w:t>
      </w:r>
      <w:r>
        <w:rPr>
          <w:rFonts w:ascii="Arial" w:hAnsi="Arial" w:cs="Arial"/>
          <w:b w:val="0"/>
          <w:sz w:val="22"/>
          <w:szCs w:val="22"/>
          <w:lang w:val="cs-CZ"/>
        </w:rPr>
        <w:br/>
      </w:r>
      <w:r w:rsidRPr="00F348A6">
        <w:rPr>
          <w:rFonts w:ascii="Arial" w:hAnsi="Arial" w:cs="Arial"/>
          <w:b w:val="0"/>
          <w:sz w:val="22"/>
          <w:szCs w:val="22"/>
        </w:rPr>
        <w:t xml:space="preserve">na pracovní trh, je zaměstnatelnost OZP nižší, než u osob, které nemají zdravotní postižení. Poměrně malá úspěšnost při umisťování na trhu práce je u osob, které jsou částečně invalidní. U části těchto uchazečů o zaměstnání </w:t>
      </w:r>
      <w:r>
        <w:rPr>
          <w:rFonts w:ascii="Arial" w:hAnsi="Arial" w:cs="Arial"/>
          <w:b w:val="0"/>
          <w:sz w:val="22"/>
          <w:szCs w:val="22"/>
          <w:lang w:val="cs-CZ"/>
        </w:rPr>
        <w:t xml:space="preserve">se </w:t>
      </w:r>
      <w:r w:rsidRPr="00F348A6">
        <w:rPr>
          <w:rFonts w:ascii="Arial" w:hAnsi="Arial" w:cs="Arial"/>
          <w:b w:val="0"/>
          <w:sz w:val="22"/>
          <w:szCs w:val="22"/>
        </w:rPr>
        <w:t>také projevuje poměrně nízká motivace k získání zaměstnání. Malý zájem je ze strany těchto uchazečů o zaměstnání i o poradenské aktivity nebo pracovní rehabilitaci. Dalším problémem, který výrazně ovlivňuje zaměstnatelnost osob se zdravotním postižením, je absence odborné kvalifikace nebo její velmi nízká úroveň. Někteří z OZP přesto, že určitou kvalifikaci mají, svoji původní profesi nemohou vykonávat buď ze zdravotních důvodů, nebo proto, že své dříve získané znalosti</w:t>
      </w:r>
      <w:r>
        <w:rPr>
          <w:rFonts w:ascii="Arial" w:hAnsi="Arial" w:cs="Arial"/>
          <w:b w:val="0"/>
          <w:sz w:val="22"/>
          <w:szCs w:val="22"/>
          <w:lang w:val="cs-CZ"/>
        </w:rPr>
        <w:br/>
      </w:r>
      <w:r w:rsidRPr="00F348A6">
        <w:rPr>
          <w:rFonts w:ascii="Arial" w:hAnsi="Arial" w:cs="Arial"/>
          <w:b w:val="0"/>
          <w:sz w:val="22"/>
          <w:szCs w:val="22"/>
        </w:rPr>
        <w:t xml:space="preserve">a dovednosti neobnovovali a dnes z různých důvodů nemají o obnovení zájem. </w:t>
      </w:r>
      <w:r>
        <w:rPr>
          <w:rFonts w:ascii="Arial" w:hAnsi="Arial" w:cs="Arial"/>
          <w:b w:val="0"/>
          <w:sz w:val="22"/>
          <w:szCs w:val="22"/>
          <w:lang w:val="cs-CZ"/>
        </w:rPr>
        <w:br/>
      </w:r>
      <w:r w:rsidRPr="00F348A6">
        <w:rPr>
          <w:rFonts w:ascii="Arial" w:hAnsi="Arial" w:cs="Arial"/>
          <w:b w:val="0"/>
          <w:sz w:val="22"/>
          <w:szCs w:val="22"/>
        </w:rPr>
        <w:t xml:space="preserve">Pro zaměstnavatele jsou to OZP bez odborné kvalifikace, přičemž pracovní pozice </w:t>
      </w:r>
      <w:r>
        <w:rPr>
          <w:rFonts w:ascii="Arial" w:hAnsi="Arial" w:cs="Arial"/>
          <w:b w:val="0"/>
          <w:sz w:val="22"/>
          <w:szCs w:val="22"/>
          <w:lang w:val="cs-CZ"/>
        </w:rPr>
        <w:br/>
      </w:r>
      <w:r w:rsidRPr="00F348A6">
        <w:rPr>
          <w:rFonts w:ascii="Arial" w:hAnsi="Arial" w:cs="Arial"/>
          <w:b w:val="0"/>
          <w:sz w:val="22"/>
          <w:szCs w:val="22"/>
        </w:rPr>
        <w:t>pro základní vzdělání, které jsou na trhu práce k dispozici, vyžadují převážně dobrý zdravotní stav.</w:t>
      </w:r>
    </w:p>
    <w:p w:rsidR="00A64035" w:rsidRDefault="00A64035" w:rsidP="00A64035">
      <w:pPr>
        <w:pStyle w:val="Zkladntext2"/>
        <w:rPr>
          <w:rFonts w:ascii="Calibri" w:hAnsi="Calibri" w:cs="Calibri"/>
          <w:color w:val="FF0000"/>
          <w:sz w:val="22"/>
          <w:szCs w:val="22"/>
          <w:lang w:val="cs-CZ"/>
        </w:rPr>
      </w:pPr>
    </w:p>
    <w:p w:rsidR="0075074A" w:rsidRPr="0075074A" w:rsidRDefault="0075074A" w:rsidP="00A64035">
      <w:pPr>
        <w:pStyle w:val="Zkladntext2"/>
        <w:rPr>
          <w:rFonts w:ascii="Calibri" w:hAnsi="Calibri" w:cs="Calibri"/>
          <w:color w:val="FF0000"/>
          <w:sz w:val="22"/>
          <w:szCs w:val="22"/>
          <w:lang w:val="cs-CZ"/>
        </w:rPr>
      </w:pPr>
    </w:p>
    <w:tbl>
      <w:tblPr>
        <w:tblW w:w="95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9"/>
        <w:gridCol w:w="1354"/>
        <w:gridCol w:w="1364"/>
        <w:gridCol w:w="1344"/>
        <w:gridCol w:w="1354"/>
      </w:tblGrid>
      <w:tr w:rsidR="00A64035" w:rsidTr="0075074A">
        <w:trPr>
          <w:cantSplit/>
        </w:trPr>
        <w:tc>
          <w:tcPr>
            <w:tcW w:w="4111" w:type="dxa"/>
            <w:vMerge w:val="restart"/>
            <w:tcBorders>
              <w:top w:val="double" w:sz="4" w:space="0" w:color="auto"/>
              <w:left w:val="double" w:sz="4" w:space="0" w:color="auto"/>
              <w:bottom w:val="double" w:sz="4" w:space="0" w:color="auto"/>
              <w:right w:val="single" w:sz="12" w:space="0" w:color="auto"/>
            </w:tcBorders>
            <w:shd w:val="clear" w:color="auto" w:fill="C0C0C0"/>
            <w:vAlign w:val="center"/>
          </w:tcPr>
          <w:p w:rsidR="00A64035" w:rsidRPr="00F348A6" w:rsidRDefault="00A64035" w:rsidP="0075074A">
            <w:pPr>
              <w:jc w:val="both"/>
              <w:rPr>
                <w:rFonts w:cs="Arial"/>
                <w:sz w:val="22"/>
                <w:szCs w:val="22"/>
                <w:vertAlign w:val="superscript"/>
              </w:rPr>
            </w:pPr>
          </w:p>
        </w:tc>
        <w:tc>
          <w:tcPr>
            <w:tcW w:w="5420" w:type="dxa"/>
            <w:gridSpan w:val="4"/>
            <w:tcBorders>
              <w:top w:val="double" w:sz="4" w:space="0" w:color="auto"/>
              <w:left w:val="single" w:sz="4" w:space="0" w:color="auto"/>
              <w:bottom w:val="single" w:sz="4" w:space="0" w:color="000000"/>
              <w:right w:val="double" w:sz="4" w:space="0" w:color="auto"/>
            </w:tcBorders>
            <w:shd w:val="clear" w:color="auto" w:fill="C0C0C0"/>
            <w:hideMark/>
          </w:tcPr>
          <w:p w:rsidR="00A64035" w:rsidRPr="00F348A6" w:rsidRDefault="00A64035" w:rsidP="0075074A">
            <w:pPr>
              <w:jc w:val="center"/>
              <w:rPr>
                <w:rFonts w:cs="Arial"/>
                <w:b/>
                <w:sz w:val="22"/>
                <w:szCs w:val="22"/>
              </w:rPr>
            </w:pPr>
            <w:r w:rsidRPr="00F348A6">
              <w:rPr>
                <w:rFonts w:cs="Arial"/>
                <w:b/>
                <w:sz w:val="22"/>
                <w:szCs w:val="22"/>
              </w:rPr>
              <w:t>stav k</w:t>
            </w:r>
          </w:p>
        </w:tc>
      </w:tr>
      <w:tr w:rsidR="00A64035" w:rsidTr="0075074A">
        <w:trPr>
          <w:cantSplit/>
        </w:trPr>
        <w:tc>
          <w:tcPr>
            <w:tcW w:w="4111" w:type="dxa"/>
            <w:vMerge/>
            <w:tcBorders>
              <w:top w:val="double" w:sz="4" w:space="0" w:color="auto"/>
              <w:left w:val="double" w:sz="4" w:space="0" w:color="auto"/>
              <w:bottom w:val="double" w:sz="4" w:space="0" w:color="auto"/>
              <w:right w:val="single" w:sz="12" w:space="0" w:color="auto"/>
            </w:tcBorders>
            <w:vAlign w:val="center"/>
            <w:hideMark/>
          </w:tcPr>
          <w:p w:rsidR="00A64035" w:rsidRPr="00F348A6" w:rsidRDefault="00A64035" w:rsidP="0075074A">
            <w:pPr>
              <w:rPr>
                <w:rFonts w:cs="Arial"/>
                <w:sz w:val="22"/>
                <w:szCs w:val="22"/>
                <w:vertAlign w:val="superscript"/>
              </w:rPr>
            </w:pPr>
          </w:p>
        </w:tc>
        <w:tc>
          <w:tcPr>
            <w:tcW w:w="2720" w:type="dxa"/>
            <w:gridSpan w:val="2"/>
            <w:tcBorders>
              <w:top w:val="single" w:sz="4" w:space="0" w:color="000000"/>
              <w:left w:val="single" w:sz="4" w:space="0" w:color="auto"/>
              <w:bottom w:val="single" w:sz="4" w:space="0" w:color="000000"/>
              <w:right w:val="single" w:sz="4" w:space="0" w:color="auto"/>
            </w:tcBorders>
            <w:shd w:val="clear" w:color="auto" w:fill="C0C0C0"/>
            <w:hideMark/>
          </w:tcPr>
          <w:p w:rsidR="00A64035" w:rsidRPr="00F348A6" w:rsidRDefault="00A64035" w:rsidP="0075074A">
            <w:pPr>
              <w:jc w:val="center"/>
              <w:rPr>
                <w:rFonts w:cs="Arial"/>
                <w:b/>
                <w:sz w:val="22"/>
                <w:szCs w:val="22"/>
              </w:rPr>
            </w:pPr>
            <w:r w:rsidRPr="00F348A6">
              <w:rPr>
                <w:rFonts w:cs="Arial"/>
                <w:b/>
                <w:sz w:val="22"/>
                <w:szCs w:val="22"/>
              </w:rPr>
              <w:t>celkem</w:t>
            </w:r>
          </w:p>
        </w:tc>
        <w:tc>
          <w:tcPr>
            <w:tcW w:w="2700" w:type="dxa"/>
            <w:gridSpan w:val="2"/>
            <w:tcBorders>
              <w:top w:val="single" w:sz="4" w:space="0" w:color="000000"/>
              <w:left w:val="single" w:sz="4" w:space="0" w:color="auto"/>
              <w:bottom w:val="single" w:sz="4" w:space="0" w:color="000000"/>
              <w:right w:val="double" w:sz="4" w:space="0" w:color="auto"/>
            </w:tcBorders>
            <w:shd w:val="clear" w:color="auto" w:fill="C0C0C0"/>
            <w:hideMark/>
          </w:tcPr>
          <w:p w:rsidR="00A64035" w:rsidRPr="00F348A6" w:rsidRDefault="00A64035" w:rsidP="0075074A">
            <w:pPr>
              <w:jc w:val="center"/>
              <w:rPr>
                <w:rFonts w:cs="Arial"/>
                <w:b/>
                <w:sz w:val="22"/>
                <w:szCs w:val="22"/>
              </w:rPr>
            </w:pPr>
            <w:r w:rsidRPr="00F348A6">
              <w:rPr>
                <w:rFonts w:cs="Arial"/>
                <w:b/>
                <w:sz w:val="22"/>
                <w:szCs w:val="22"/>
              </w:rPr>
              <w:t>ženy</w:t>
            </w:r>
          </w:p>
        </w:tc>
      </w:tr>
      <w:tr w:rsidR="00A64035" w:rsidTr="0075074A">
        <w:trPr>
          <w:cantSplit/>
        </w:trPr>
        <w:tc>
          <w:tcPr>
            <w:tcW w:w="4111" w:type="dxa"/>
            <w:vMerge/>
            <w:tcBorders>
              <w:top w:val="double" w:sz="4" w:space="0" w:color="auto"/>
              <w:left w:val="double" w:sz="4" w:space="0" w:color="auto"/>
              <w:bottom w:val="double" w:sz="4" w:space="0" w:color="auto"/>
              <w:right w:val="single" w:sz="12" w:space="0" w:color="auto"/>
            </w:tcBorders>
            <w:vAlign w:val="center"/>
            <w:hideMark/>
          </w:tcPr>
          <w:p w:rsidR="00A64035" w:rsidRPr="00F348A6" w:rsidRDefault="00A64035" w:rsidP="0075074A">
            <w:pPr>
              <w:rPr>
                <w:rFonts w:cs="Arial"/>
                <w:sz w:val="22"/>
                <w:szCs w:val="22"/>
                <w:vertAlign w:val="superscript"/>
              </w:rPr>
            </w:pPr>
          </w:p>
        </w:tc>
        <w:tc>
          <w:tcPr>
            <w:tcW w:w="1355" w:type="dxa"/>
            <w:tcBorders>
              <w:top w:val="single" w:sz="4" w:space="0" w:color="000000"/>
              <w:left w:val="single" w:sz="4" w:space="0" w:color="auto"/>
              <w:bottom w:val="double" w:sz="4" w:space="0" w:color="auto"/>
              <w:right w:val="single" w:sz="4" w:space="0" w:color="auto"/>
            </w:tcBorders>
            <w:shd w:val="clear" w:color="auto" w:fill="C0C0C0"/>
            <w:vAlign w:val="center"/>
            <w:hideMark/>
          </w:tcPr>
          <w:p w:rsidR="00A64035" w:rsidRPr="00F348A6" w:rsidRDefault="00A64035" w:rsidP="0075074A">
            <w:pPr>
              <w:jc w:val="center"/>
              <w:rPr>
                <w:rFonts w:cs="Arial"/>
                <w:b/>
                <w:sz w:val="22"/>
                <w:szCs w:val="22"/>
              </w:rPr>
            </w:pPr>
            <w:proofErr w:type="gramStart"/>
            <w:r w:rsidRPr="00F348A6">
              <w:rPr>
                <w:rFonts w:cs="Arial"/>
                <w:b/>
                <w:sz w:val="22"/>
                <w:szCs w:val="22"/>
              </w:rPr>
              <w:t>31.12. 2010</w:t>
            </w:r>
            <w:proofErr w:type="gramEnd"/>
          </w:p>
        </w:tc>
        <w:tc>
          <w:tcPr>
            <w:tcW w:w="1365" w:type="dxa"/>
            <w:tcBorders>
              <w:top w:val="single" w:sz="4" w:space="0" w:color="000000"/>
              <w:left w:val="single" w:sz="4" w:space="0" w:color="auto"/>
              <w:bottom w:val="double" w:sz="4" w:space="0" w:color="auto"/>
              <w:right w:val="single" w:sz="4" w:space="0" w:color="auto"/>
            </w:tcBorders>
            <w:shd w:val="clear" w:color="auto" w:fill="C0C0C0"/>
            <w:vAlign w:val="center"/>
            <w:hideMark/>
          </w:tcPr>
          <w:p w:rsidR="00A64035" w:rsidRPr="00F348A6" w:rsidRDefault="00A64035" w:rsidP="0075074A">
            <w:pPr>
              <w:jc w:val="center"/>
              <w:rPr>
                <w:rFonts w:cs="Arial"/>
                <w:b/>
                <w:sz w:val="22"/>
                <w:szCs w:val="22"/>
              </w:rPr>
            </w:pPr>
            <w:proofErr w:type="gramStart"/>
            <w:r w:rsidRPr="00F348A6">
              <w:rPr>
                <w:rFonts w:cs="Arial"/>
                <w:b/>
                <w:sz w:val="22"/>
                <w:szCs w:val="22"/>
              </w:rPr>
              <w:t>31.12. 2011</w:t>
            </w:r>
            <w:proofErr w:type="gramEnd"/>
          </w:p>
        </w:tc>
        <w:tc>
          <w:tcPr>
            <w:tcW w:w="1345" w:type="dxa"/>
            <w:tcBorders>
              <w:top w:val="single" w:sz="4" w:space="0" w:color="000000"/>
              <w:left w:val="single" w:sz="4" w:space="0" w:color="auto"/>
              <w:bottom w:val="double" w:sz="4" w:space="0" w:color="auto"/>
              <w:right w:val="single" w:sz="4" w:space="0" w:color="auto"/>
            </w:tcBorders>
            <w:shd w:val="clear" w:color="auto" w:fill="C0C0C0"/>
            <w:vAlign w:val="center"/>
            <w:hideMark/>
          </w:tcPr>
          <w:p w:rsidR="00A64035" w:rsidRPr="00F348A6" w:rsidRDefault="00A64035" w:rsidP="0075074A">
            <w:pPr>
              <w:jc w:val="center"/>
              <w:rPr>
                <w:rFonts w:cs="Arial"/>
                <w:b/>
                <w:sz w:val="22"/>
                <w:szCs w:val="22"/>
              </w:rPr>
            </w:pPr>
            <w:proofErr w:type="gramStart"/>
            <w:r w:rsidRPr="00F348A6">
              <w:rPr>
                <w:rFonts w:cs="Arial"/>
                <w:b/>
                <w:sz w:val="22"/>
                <w:szCs w:val="22"/>
              </w:rPr>
              <w:t>31.12. 2010</w:t>
            </w:r>
            <w:proofErr w:type="gramEnd"/>
          </w:p>
        </w:tc>
        <w:tc>
          <w:tcPr>
            <w:tcW w:w="1355" w:type="dxa"/>
            <w:tcBorders>
              <w:top w:val="single" w:sz="4" w:space="0" w:color="000000"/>
              <w:left w:val="single" w:sz="4" w:space="0" w:color="auto"/>
              <w:bottom w:val="double" w:sz="4" w:space="0" w:color="auto"/>
              <w:right w:val="double" w:sz="4" w:space="0" w:color="auto"/>
            </w:tcBorders>
            <w:shd w:val="clear" w:color="auto" w:fill="C0C0C0"/>
            <w:vAlign w:val="center"/>
            <w:hideMark/>
          </w:tcPr>
          <w:p w:rsidR="00A64035" w:rsidRPr="00F348A6" w:rsidRDefault="00A64035" w:rsidP="0075074A">
            <w:pPr>
              <w:jc w:val="center"/>
              <w:rPr>
                <w:rFonts w:cs="Arial"/>
                <w:b/>
                <w:sz w:val="22"/>
                <w:szCs w:val="22"/>
              </w:rPr>
            </w:pPr>
            <w:proofErr w:type="gramStart"/>
            <w:r w:rsidRPr="00F348A6">
              <w:rPr>
                <w:rFonts w:cs="Arial"/>
                <w:b/>
                <w:sz w:val="22"/>
                <w:szCs w:val="22"/>
              </w:rPr>
              <w:t>31.12. 2011</w:t>
            </w:r>
            <w:proofErr w:type="gramEnd"/>
          </w:p>
        </w:tc>
      </w:tr>
      <w:tr w:rsidR="00A64035" w:rsidTr="0075074A">
        <w:trPr>
          <w:trHeight w:val="284"/>
        </w:trPr>
        <w:tc>
          <w:tcPr>
            <w:tcW w:w="4111" w:type="dxa"/>
            <w:tcBorders>
              <w:top w:val="double" w:sz="4" w:space="0" w:color="auto"/>
              <w:left w:val="double" w:sz="4" w:space="0" w:color="auto"/>
              <w:bottom w:val="single" w:sz="4" w:space="0" w:color="auto"/>
              <w:right w:val="single" w:sz="12" w:space="0" w:color="auto"/>
            </w:tcBorders>
            <w:shd w:val="clear" w:color="auto" w:fill="EAEAEA"/>
            <w:vAlign w:val="center"/>
            <w:hideMark/>
          </w:tcPr>
          <w:p w:rsidR="00A64035" w:rsidRPr="00F348A6" w:rsidRDefault="00A64035" w:rsidP="0075074A">
            <w:pPr>
              <w:rPr>
                <w:rFonts w:cs="Arial"/>
                <w:b/>
                <w:sz w:val="22"/>
                <w:szCs w:val="22"/>
                <w:vertAlign w:val="superscript"/>
              </w:rPr>
            </w:pPr>
            <w:r w:rsidRPr="00F348A6">
              <w:rPr>
                <w:rFonts w:cs="Arial"/>
                <w:b/>
                <w:sz w:val="22"/>
                <w:szCs w:val="22"/>
              </w:rPr>
              <w:t xml:space="preserve">osoby se ZP </w:t>
            </w:r>
          </w:p>
        </w:tc>
        <w:tc>
          <w:tcPr>
            <w:tcW w:w="1355" w:type="dxa"/>
            <w:tcBorders>
              <w:top w:val="double" w:sz="4" w:space="0" w:color="auto"/>
              <w:left w:val="nil"/>
              <w:bottom w:val="single" w:sz="4" w:space="0" w:color="auto"/>
              <w:right w:val="single" w:sz="4" w:space="0" w:color="auto"/>
            </w:tcBorders>
            <w:vAlign w:val="center"/>
            <w:hideMark/>
          </w:tcPr>
          <w:p w:rsidR="00A64035" w:rsidRPr="00F348A6" w:rsidRDefault="00A64035" w:rsidP="0075074A">
            <w:pPr>
              <w:ind w:right="284"/>
              <w:jc w:val="right"/>
              <w:rPr>
                <w:rFonts w:cs="Arial"/>
                <w:b/>
                <w:sz w:val="22"/>
                <w:szCs w:val="22"/>
              </w:rPr>
            </w:pPr>
            <w:r w:rsidRPr="00F348A6">
              <w:rPr>
                <w:rFonts w:cs="Arial"/>
                <w:b/>
                <w:sz w:val="22"/>
                <w:szCs w:val="22"/>
              </w:rPr>
              <w:t>1037</w:t>
            </w:r>
          </w:p>
        </w:tc>
        <w:tc>
          <w:tcPr>
            <w:tcW w:w="1365" w:type="dxa"/>
            <w:tcBorders>
              <w:top w:val="doub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b/>
                <w:sz w:val="22"/>
                <w:szCs w:val="22"/>
              </w:rPr>
            </w:pPr>
            <w:r w:rsidRPr="00F348A6">
              <w:rPr>
                <w:rFonts w:cs="Arial"/>
                <w:b/>
                <w:sz w:val="22"/>
                <w:szCs w:val="22"/>
              </w:rPr>
              <w:t>1037</w:t>
            </w:r>
          </w:p>
        </w:tc>
        <w:tc>
          <w:tcPr>
            <w:tcW w:w="1345" w:type="dxa"/>
            <w:tcBorders>
              <w:top w:val="doub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b/>
                <w:sz w:val="22"/>
                <w:szCs w:val="22"/>
              </w:rPr>
            </w:pPr>
            <w:r w:rsidRPr="00F348A6">
              <w:rPr>
                <w:rFonts w:cs="Arial"/>
                <w:b/>
                <w:sz w:val="22"/>
                <w:szCs w:val="22"/>
              </w:rPr>
              <w:t>537</w:t>
            </w:r>
          </w:p>
        </w:tc>
        <w:tc>
          <w:tcPr>
            <w:tcW w:w="1355" w:type="dxa"/>
            <w:tcBorders>
              <w:top w:val="doub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284"/>
              <w:jc w:val="right"/>
              <w:rPr>
                <w:rFonts w:cs="Arial"/>
                <w:b/>
                <w:sz w:val="22"/>
                <w:szCs w:val="22"/>
              </w:rPr>
            </w:pPr>
            <w:r w:rsidRPr="00F348A6">
              <w:rPr>
                <w:rFonts w:cs="Arial"/>
                <w:b/>
                <w:sz w:val="22"/>
                <w:szCs w:val="22"/>
              </w:rPr>
              <w:t>552</w:t>
            </w:r>
          </w:p>
        </w:tc>
      </w:tr>
      <w:tr w:rsidR="00A64035" w:rsidTr="0075074A">
        <w:trPr>
          <w:trHeight w:val="284"/>
        </w:trPr>
        <w:tc>
          <w:tcPr>
            <w:tcW w:w="4111" w:type="dxa"/>
            <w:tcBorders>
              <w:top w:val="single" w:sz="4" w:space="0" w:color="auto"/>
              <w:left w:val="double" w:sz="4" w:space="0" w:color="auto"/>
              <w:bottom w:val="single" w:sz="4" w:space="0" w:color="auto"/>
              <w:right w:val="single" w:sz="12" w:space="0" w:color="auto"/>
            </w:tcBorders>
            <w:shd w:val="clear" w:color="auto" w:fill="EAEAEA"/>
            <w:vAlign w:val="center"/>
            <w:hideMark/>
          </w:tcPr>
          <w:p w:rsidR="00A64035" w:rsidRPr="00F348A6" w:rsidRDefault="00A64035" w:rsidP="0075074A">
            <w:pPr>
              <w:rPr>
                <w:rFonts w:cs="Arial"/>
                <w:sz w:val="22"/>
                <w:szCs w:val="22"/>
              </w:rPr>
            </w:pPr>
            <w:r w:rsidRPr="00F348A6">
              <w:rPr>
                <w:rFonts w:cs="Arial"/>
                <w:sz w:val="22"/>
                <w:szCs w:val="22"/>
              </w:rPr>
              <w:t xml:space="preserve">podíl na celkovém počtu uchazečů </w:t>
            </w:r>
          </w:p>
        </w:tc>
        <w:tc>
          <w:tcPr>
            <w:tcW w:w="1355" w:type="dxa"/>
            <w:tcBorders>
              <w:top w:val="single" w:sz="4" w:space="0" w:color="auto"/>
              <w:left w:val="nil"/>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 xml:space="preserve">11,2 </w:t>
            </w:r>
            <w:r w:rsidRPr="00F348A6">
              <w:rPr>
                <w:rFonts w:cs="Arial"/>
                <w:sz w:val="22"/>
                <w:szCs w:val="22"/>
                <w:lang w:val="en-US"/>
              </w:rPr>
              <w:t>%</w:t>
            </w:r>
          </w:p>
        </w:tc>
        <w:tc>
          <w:tcPr>
            <w:tcW w:w="136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 xml:space="preserve">11,5 </w:t>
            </w:r>
            <w:r w:rsidRPr="00F348A6">
              <w:rPr>
                <w:rFonts w:cs="Arial"/>
                <w:sz w:val="22"/>
                <w:szCs w:val="22"/>
                <w:lang w:val="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 xml:space="preserve">11,8 </w:t>
            </w:r>
            <w:r w:rsidRPr="00F348A6">
              <w:rPr>
                <w:rFonts w:cs="Arial"/>
                <w:sz w:val="22"/>
                <w:szCs w:val="22"/>
                <w:lang w:val="en-US"/>
              </w:rPr>
              <w:t>%</w:t>
            </w:r>
          </w:p>
        </w:tc>
        <w:tc>
          <w:tcPr>
            <w:tcW w:w="1355"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 xml:space="preserve">11,8 </w:t>
            </w:r>
            <w:r w:rsidRPr="00F348A6">
              <w:rPr>
                <w:rFonts w:cs="Arial"/>
                <w:sz w:val="22"/>
                <w:szCs w:val="22"/>
                <w:lang w:val="en-US"/>
              </w:rPr>
              <w:t>%</w:t>
            </w:r>
          </w:p>
        </w:tc>
      </w:tr>
      <w:tr w:rsidR="00A64035" w:rsidTr="0075074A">
        <w:trPr>
          <w:trHeight w:val="284"/>
        </w:trPr>
        <w:tc>
          <w:tcPr>
            <w:tcW w:w="4111" w:type="dxa"/>
            <w:tcBorders>
              <w:top w:val="single" w:sz="4" w:space="0" w:color="auto"/>
              <w:left w:val="double" w:sz="4" w:space="0" w:color="auto"/>
              <w:bottom w:val="single" w:sz="4" w:space="0" w:color="auto"/>
              <w:right w:val="single" w:sz="12" w:space="0" w:color="auto"/>
            </w:tcBorders>
            <w:shd w:val="clear" w:color="auto" w:fill="EAEAEA"/>
            <w:vAlign w:val="center"/>
            <w:hideMark/>
          </w:tcPr>
          <w:p w:rsidR="00A64035" w:rsidRPr="00F348A6" w:rsidRDefault="00A64035" w:rsidP="0075074A">
            <w:pPr>
              <w:rPr>
                <w:rFonts w:cs="Arial"/>
                <w:sz w:val="22"/>
                <w:szCs w:val="22"/>
              </w:rPr>
            </w:pPr>
            <w:r w:rsidRPr="00F348A6">
              <w:rPr>
                <w:rFonts w:cs="Arial"/>
                <w:sz w:val="22"/>
                <w:szCs w:val="22"/>
              </w:rPr>
              <w:t>z toho: plně invalidní</w:t>
            </w:r>
          </w:p>
        </w:tc>
        <w:tc>
          <w:tcPr>
            <w:tcW w:w="1355" w:type="dxa"/>
            <w:tcBorders>
              <w:top w:val="single" w:sz="4" w:space="0" w:color="auto"/>
              <w:left w:val="nil"/>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2</w:t>
            </w:r>
          </w:p>
        </w:tc>
        <w:tc>
          <w:tcPr>
            <w:tcW w:w="136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w:t>
            </w:r>
          </w:p>
        </w:tc>
        <w:tc>
          <w:tcPr>
            <w:tcW w:w="1355"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0</w:t>
            </w:r>
          </w:p>
        </w:tc>
      </w:tr>
      <w:tr w:rsidR="00A64035" w:rsidTr="0075074A">
        <w:trPr>
          <w:trHeight w:val="284"/>
        </w:trPr>
        <w:tc>
          <w:tcPr>
            <w:tcW w:w="4111" w:type="dxa"/>
            <w:tcBorders>
              <w:top w:val="single" w:sz="4" w:space="0" w:color="auto"/>
              <w:left w:val="double" w:sz="4" w:space="0" w:color="auto"/>
              <w:bottom w:val="single" w:sz="4" w:space="0" w:color="auto"/>
              <w:right w:val="single" w:sz="12" w:space="0" w:color="auto"/>
            </w:tcBorders>
            <w:shd w:val="clear" w:color="auto" w:fill="EAEAEA"/>
            <w:vAlign w:val="center"/>
            <w:hideMark/>
          </w:tcPr>
          <w:p w:rsidR="00A64035" w:rsidRPr="00F348A6" w:rsidRDefault="00A64035" w:rsidP="0075074A">
            <w:pPr>
              <w:rPr>
                <w:rFonts w:cs="Arial"/>
                <w:sz w:val="22"/>
                <w:szCs w:val="22"/>
              </w:rPr>
            </w:pPr>
            <w:r w:rsidRPr="00F348A6">
              <w:rPr>
                <w:rFonts w:cs="Arial"/>
                <w:sz w:val="22"/>
                <w:szCs w:val="22"/>
              </w:rPr>
              <w:t xml:space="preserve">   částečně invalidní</w:t>
            </w:r>
          </w:p>
        </w:tc>
        <w:tc>
          <w:tcPr>
            <w:tcW w:w="1355" w:type="dxa"/>
            <w:tcBorders>
              <w:top w:val="single" w:sz="4" w:space="0" w:color="auto"/>
              <w:left w:val="nil"/>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416</w:t>
            </w:r>
          </w:p>
        </w:tc>
        <w:tc>
          <w:tcPr>
            <w:tcW w:w="136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223</w:t>
            </w:r>
          </w:p>
        </w:tc>
        <w:tc>
          <w:tcPr>
            <w:tcW w:w="1355"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105</w:t>
            </w:r>
          </w:p>
        </w:tc>
      </w:tr>
      <w:tr w:rsidR="00A64035" w:rsidTr="0075074A">
        <w:trPr>
          <w:trHeight w:val="284"/>
        </w:trPr>
        <w:tc>
          <w:tcPr>
            <w:tcW w:w="4111" w:type="dxa"/>
            <w:tcBorders>
              <w:top w:val="single" w:sz="4" w:space="0" w:color="auto"/>
              <w:left w:val="double" w:sz="4" w:space="0" w:color="auto"/>
              <w:bottom w:val="single" w:sz="4" w:space="0" w:color="auto"/>
              <w:right w:val="single" w:sz="12" w:space="0" w:color="auto"/>
            </w:tcBorders>
            <w:shd w:val="clear" w:color="auto" w:fill="EAEAEA"/>
            <w:vAlign w:val="center"/>
            <w:hideMark/>
          </w:tcPr>
          <w:p w:rsidR="00A64035" w:rsidRPr="00F348A6" w:rsidRDefault="00A64035" w:rsidP="0075074A">
            <w:pPr>
              <w:rPr>
                <w:rFonts w:cs="Arial"/>
                <w:sz w:val="22"/>
                <w:szCs w:val="22"/>
              </w:rPr>
            </w:pPr>
            <w:r w:rsidRPr="00F348A6">
              <w:rPr>
                <w:rFonts w:cs="Arial"/>
                <w:sz w:val="22"/>
                <w:szCs w:val="22"/>
              </w:rPr>
              <w:t xml:space="preserve">   os. </w:t>
            </w:r>
            <w:proofErr w:type="gramStart"/>
            <w:r w:rsidRPr="00F348A6">
              <w:rPr>
                <w:rFonts w:cs="Arial"/>
                <w:sz w:val="22"/>
                <w:szCs w:val="22"/>
              </w:rPr>
              <w:t>invalidní</w:t>
            </w:r>
            <w:proofErr w:type="gramEnd"/>
            <w:r w:rsidRPr="00F348A6">
              <w:rPr>
                <w:rFonts w:cs="Arial"/>
                <w:sz w:val="22"/>
                <w:szCs w:val="22"/>
              </w:rPr>
              <w:t xml:space="preserve"> - I. stupeň (§39/2a)</w:t>
            </w:r>
          </w:p>
        </w:tc>
        <w:tc>
          <w:tcPr>
            <w:tcW w:w="1355" w:type="dxa"/>
            <w:tcBorders>
              <w:top w:val="single" w:sz="4" w:space="0" w:color="auto"/>
              <w:left w:val="nil"/>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314</w:t>
            </w:r>
          </w:p>
        </w:tc>
        <w:tc>
          <w:tcPr>
            <w:tcW w:w="136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457</w:t>
            </w:r>
          </w:p>
        </w:tc>
        <w:tc>
          <w:tcPr>
            <w:tcW w:w="134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152</w:t>
            </w:r>
          </w:p>
        </w:tc>
        <w:tc>
          <w:tcPr>
            <w:tcW w:w="1355"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234</w:t>
            </w:r>
          </w:p>
        </w:tc>
      </w:tr>
      <w:tr w:rsidR="00A64035" w:rsidTr="0075074A">
        <w:trPr>
          <w:trHeight w:val="284"/>
        </w:trPr>
        <w:tc>
          <w:tcPr>
            <w:tcW w:w="4111" w:type="dxa"/>
            <w:tcBorders>
              <w:top w:val="single" w:sz="4" w:space="0" w:color="auto"/>
              <w:left w:val="double" w:sz="4" w:space="0" w:color="auto"/>
              <w:bottom w:val="single" w:sz="4" w:space="0" w:color="auto"/>
              <w:right w:val="single" w:sz="12" w:space="0" w:color="auto"/>
            </w:tcBorders>
            <w:shd w:val="clear" w:color="auto" w:fill="EAEAEA"/>
            <w:vAlign w:val="center"/>
            <w:hideMark/>
          </w:tcPr>
          <w:p w:rsidR="00A64035" w:rsidRPr="00F348A6" w:rsidRDefault="00A64035" w:rsidP="0075074A">
            <w:pPr>
              <w:rPr>
                <w:rFonts w:cs="Arial"/>
                <w:sz w:val="22"/>
                <w:szCs w:val="22"/>
              </w:rPr>
            </w:pPr>
            <w:r w:rsidRPr="00F348A6">
              <w:rPr>
                <w:rFonts w:cs="Arial"/>
                <w:sz w:val="22"/>
                <w:szCs w:val="22"/>
              </w:rPr>
              <w:t xml:space="preserve">   os. </w:t>
            </w:r>
            <w:proofErr w:type="gramStart"/>
            <w:r w:rsidRPr="00F348A6">
              <w:rPr>
                <w:rFonts w:cs="Arial"/>
                <w:sz w:val="22"/>
                <w:szCs w:val="22"/>
              </w:rPr>
              <w:t>invalidní</w:t>
            </w:r>
            <w:proofErr w:type="gramEnd"/>
            <w:r w:rsidRPr="00F348A6">
              <w:rPr>
                <w:rFonts w:cs="Arial"/>
                <w:sz w:val="22"/>
                <w:szCs w:val="22"/>
              </w:rPr>
              <w:t xml:space="preserve"> - II. stupeň (§39/2b)</w:t>
            </w:r>
          </w:p>
        </w:tc>
        <w:tc>
          <w:tcPr>
            <w:tcW w:w="1355" w:type="dxa"/>
            <w:tcBorders>
              <w:top w:val="single" w:sz="4" w:space="0" w:color="auto"/>
              <w:left w:val="nil"/>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172</w:t>
            </w:r>
          </w:p>
        </w:tc>
        <w:tc>
          <w:tcPr>
            <w:tcW w:w="136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244</w:t>
            </w:r>
          </w:p>
        </w:tc>
        <w:tc>
          <w:tcPr>
            <w:tcW w:w="134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90</w:t>
            </w:r>
          </w:p>
        </w:tc>
        <w:tc>
          <w:tcPr>
            <w:tcW w:w="1355"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139</w:t>
            </w:r>
          </w:p>
        </w:tc>
      </w:tr>
      <w:tr w:rsidR="00A64035" w:rsidTr="0075074A">
        <w:trPr>
          <w:trHeight w:val="284"/>
        </w:trPr>
        <w:tc>
          <w:tcPr>
            <w:tcW w:w="4111" w:type="dxa"/>
            <w:tcBorders>
              <w:top w:val="single" w:sz="4" w:space="0" w:color="auto"/>
              <w:left w:val="double" w:sz="4" w:space="0" w:color="auto"/>
              <w:bottom w:val="single" w:sz="4" w:space="0" w:color="auto"/>
              <w:right w:val="single" w:sz="12" w:space="0" w:color="auto"/>
            </w:tcBorders>
            <w:shd w:val="clear" w:color="auto" w:fill="EAEAEA"/>
            <w:vAlign w:val="center"/>
            <w:hideMark/>
          </w:tcPr>
          <w:p w:rsidR="00A64035" w:rsidRPr="00F348A6" w:rsidRDefault="00A64035" w:rsidP="0075074A">
            <w:pPr>
              <w:rPr>
                <w:rFonts w:cs="Arial"/>
                <w:sz w:val="22"/>
                <w:szCs w:val="22"/>
              </w:rPr>
            </w:pPr>
            <w:r w:rsidRPr="00F348A6">
              <w:rPr>
                <w:rFonts w:cs="Arial"/>
                <w:sz w:val="22"/>
                <w:szCs w:val="22"/>
              </w:rPr>
              <w:t xml:space="preserve">   os. </w:t>
            </w:r>
            <w:proofErr w:type="gramStart"/>
            <w:r w:rsidRPr="00F348A6">
              <w:rPr>
                <w:rFonts w:cs="Arial"/>
                <w:sz w:val="22"/>
                <w:szCs w:val="22"/>
              </w:rPr>
              <w:t>invalidní</w:t>
            </w:r>
            <w:proofErr w:type="gramEnd"/>
            <w:r w:rsidRPr="00F348A6">
              <w:rPr>
                <w:rFonts w:cs="Arial"/>
                <w:sz w:val="22"/>
                <w:szCs w:val="22"/>
              </w:rPr>
              <w:t xml:space="preserve"> - III. stupeň (§39/2c)</w:t>
            </w:r>
          </w:p>
        </w:tc>
        <w:tc>
          <w:tcPr>
            <w:tcW w:w="1355" w:type="dxa"/>
            <w:tcBorders>
              <w:top w:val="single" w:sz="4" w:space="0" w:color="auto"/>
              <w:left w:val="nil"/>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2</w:t>
            </w:r>
          </w:p>
        </w:tc>
        <w:tc>
          <w:tcPr>
            <w:tcW w:w="136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w:t>
            </w:r>
          </w:p>
        </w:tc>
        <w:tc>
          <w:tcPr>
            <w:tcW w:w="1355"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w:t>
            </w:r>
          </w:p>
        </w:tc>
      </w:tr>
      <w:tr w:rsidR="00A64035" w:rsidTr="0075074A">
        <w:trPr>
          <w:trHeight w:val="284"/>
        </w:trPr>
        <w:tc>
          <w:tcPr>
            <w:tcW w:w="4111" w:type="dxa"/>
            <w:tcBorders>
              <w:top w:val="single" w:sz="4" w:space="0" w:color="auto"/>
              <w:left w:val="double" w:sz="4" w:space="0" w:color="auto"/>
              <w:bottom w:val="single" w:sz="4" w:space="0" w:color="auto"/>
              <w:right w:val="single" w:sz="12" w:space="0" w:color="auto"/>
            </w:tcBorders>
            <w:shd w:val="clear" w:color="auto" w:fill="EAEAEA"/>
            <w:vAlign w:val="center"/>
            <w:hideMark/>
          </w:tcPr>
          <w:p w:rsidR="00A64035" w:rsidRPr="00F348A6" w:rsidRDefault="00A64035" w:rsidP="0075074A">
            <w:pPr>
              <w:rPr>
                <w:rFonts w:cs="Arial"/>
                <w:sz w:val="22"/>
                <w:szCs w:val="22"/>
              </w:rPr>
            </w:pPr>
            <w:r w:rsidRPr="00F348A6">
              <w:rPr>
                <w:rFonts w:cs="Arial"/>
                <w:sz w:val="22"/>
                <w:szCs w:val="22"/>
              </w:rPr>
              <w:t xml:space="preserve">   os. </w:t>
            </w:r>
            <w:proofErr w:type="gramStart"/>
            <w:r w:rsidRPr="00F348A6">
              <w:rPr>
                <w:rFonts w:cs="Arial"/>
                <w:sz w:val="22"/>
                <w:szCs w:val="22"/>
              </w:rPr>
              <w:t>invalidní</w:t>
            </w:r>
            <w:proofErr w:type="gramEnd"/>
            <w:r w:rsidRPr="00F348A6">
              <w:rPr>
                <w:rFonts w:cs="Arial"/>
                <w:sz w:val="22"/>
                <w:szCs w:val="22"/>
              </w:rPr>
              <w:t xml:space="preserve"> - III. stupeň (§39/2c, §39/4f)</w:t>
            </w:r>
          </w:p>
        </w:tc>
        <w:tc>
          <w:tcPr>
            <w:tcW w:w="1355" w:type="dxa"/>
            <w:tcBorders>
              <w:top w:val="single" w:sz="4" w:space="0" w:color="auto"/>
              <w:left w:val="nil"/>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3</w:t>
            </w:r>
          </w:p>
        </w:tc>
        <w:tc>
          <w:tcPr>
            <w:tcW w:w="136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2</w:t>
            </w:r>
          </w:p>
        </w:tc>
        <w:tc>
          <w:tcPr>
            <w:tcW w:w="1355"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w:t>
            </w:r>
          </w:p>
        </w:tc>
      </w:tr>
      <w:tr w:rsidR="00A64035" w:rsidTr="0075074A">
        <w:trPr>
          <w:trHeight w:val="284"/>
        </w:trPr>
        <w:tc>
          <w:tcPr>
            <w:tcW w:w="4111" w:type="dxa"/>
            <w:tcBorders>
              <w:top w:val="single" w:sz="4" w:space="0" w:color="auto"/>
              <w:left w:val="double" w:sz="4" w:space="0" w:color="auto"/>
              <w:bottom w:val="double" w:sz="4" w:space="0" w:color="auto"/>
              <w:right w:val="single" w:sz="12" w:space="0" w:color="auto"/>
            </w:tcBorders>
            <w:shd w:val="clear" w:color="auto" w:fill="EAEAEA"/>
            <w:vAlign w:val="center"/>
            <w:hideMark/>
          </w:tcPr>
          <w:p w:rsidR="00A64035" w:rsidRPr="00F348A6" w:rsidRDefault="00A64035" w:rsidP="0075074A">
            <w:pPr>
              <w:rPr>
                <w:rFonts w:cs="Arial"/>
                <w:sz w:val="22"/>
                <w:szCs w:val="22"/>
              </w:rPr>
            </w:pPr>
            <w:r w:rsidRPr="00F348A6">
              <w:rPr>
                <w:rFonts w:cs="Arial"/>
                <w:sz w:val="22"/>
                <w:szCs w:val="22"/>
              </w:rPr>
              <w:t xml:space="preserve">   os. </w:t>
            </w:r>
            <w:proofErr w:type="gramStart"/>
            <w:r w:rsidRPr="00F348A6">
              <w:rPr>
                <w:rFonts w:cs="Arial"/>
                <w:sz w:val="22"/>
                <w:szCs w:val="22"/>
              </w:rPr>
              <w:t>zdravotně</w:t>
            </w:r>
            <w:proofErr w:type="gramEnd"/>
            <w:r w:rsidRPr="00F348A6">
              <w:rPr>
                <w:rFonts w:cs="Arial"/>
                <w:sz w:val="22"/>
                <w:szCs w:val="22"/>
              </w:rPr>
              <w:t xml:space="preserve"> znevýhodněné</w:t>
            </w:r>
          </w:p>
        </w:tc>
        <w:tc>
          <w:tcPr>
            <w:tcW w:w="1355" w:type="dxa"/>
            <w:tcBorders>
              <w:top w:val="single" w:sz="4" w:space="0" w:color="auto"/>
              <w:left w:val="nil"/>
              <w:bottom w:val="doub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128</w:t>
            </w:r>
          </w:p>
        </w:tc>
        <w:tc>
          <w:tcPr>
            <w:tcW w:w="1365" w:type="dxa"/>
            <w:tcBorders>
              <w:top w:val="single" w:sz="4" w:space="0" w:color="auto"/>
              <w:left w:val="single" w:sz="4" w:space="0" w:color="auto"/>
              <w:bottom w:val="doub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133</w:t>
            </w:r>
          </w:p>
        </w:tc>
        <w:tc>
          <w:tcPr>
            <w:tcW w:w="1345" w:type="dxa"/>
            <w:tcBorders>
              <w:top w:val="single" w:sz="4" w:space="0" w:color="auto"/>
              <w:left w:val="single" w:sz="4" w:space="0" w:color="auto"/>
              <w:bottom w:val="double" w:sz="4" w:space="0" w:color="auto"/>
              <w:right w:val="sing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68</w:t>
            </w:r>
          </w:p>
        </w:tc>
        <w:tc>
          <w:tcPr>
            <w:tcW w:w="1355" w:type="dxa"/>
            <w:tcBorders>
              <w:top w:val="single" w:sz="4" w:space="0" w:color="auto"/>
              <w:left w:val="single" w:sz="4" w:space="0" w:color="auto"/>
              <w:bottom w:val="double" w:sz="4" w:space="0" w:color="auto"/>
              <w:right w:val="double" w:sz="4" w:space="0" w:color="auto"/>
            </w:tcBorders>
            <w:vAlign w:val="center"/>
            <w:hideMark/>
          </w:tcPr>
          <w:p w:rsidR="00A64035" w:rsidRPr="00F348A6" w:rsidRDefault="00A64035" w:rsidP="0075074A">
            <w:pPr>
              <w:ind w:right="284"/>
              <w:jc w:val="right"/>
              <w:rPr>
                <w:rFonts w:cs="Arial"/>
                <w:sz w:val="22"/>
                <w:szCs w:val="22"/>
              </w:rPr>
            </w:pPr>
            <w:r w:rsidRPr="00F348A6">
              <w:rPr>
                <w:rFonts w:cs="Arial"/>
                <w:sz w:val="22"/>
                <w:szCs w:val="22"/>
              </w:rPr>
              <w:t>72</w:t>
            </w:r>
          </w:p>
        </w:tc>
      </w:tr>
    </w:tbl>
    <w:p w:rsidR="00A64035" w:rsidRDefault="00A64035" w:rsidP="0075074A">
      <w:pPr>
        <w:pStyle w:val="Nadpis3"/>
      </w:pPr>
      <w:r>
        <w:lastRenderedPageBreak/>
        <w:t>Situace dalších problémových skupin na trhu práce</w:t>
      </w:r>
    </w:p>
    <w:p w:rsidR="00A64035" w:rsidRPr="00F348A6" w:rsidRDefault="00A64035" w:rsidP="00A64035">
      <w:pPr>
        <w:rPr>
          <w:lang w:eastAsia="x-none"/>
        </w:rPr>
      </w:pPr>
    </w:p>
    <w:p w:rsidR="00A64035" w:rsidRPr="00F348A6" w:rsidRDefault="00A64035" w:rsidP="00A64035">
      <w:pPr>
        <w:rPr>
          <w:rFonts w:cs="Arial"/>
          <w:sz w:val="22"/>
          <w:szCs w:val="22"/>
        </w:rPr>
      </w:pPr>
      <w:r w:rsidRPr="00F348A6">
        <w:rPr>
          <w:rFonts w:cs="Arial"/>
          <w:sz w:val="22"/>
          <w:szCs w:val="22"/>
        </w:rPr>
        <w:t xml:space="preserve">Podíl uchazečů s nízkým vzděláním (bez vzdělání, neúplné základní nebo základní vzdělání) na celkovém počtu nezaměstnaných se oproti stejnému období minulého roku téměř nezměnil (4047 oproti 4050 v roce 2010) ovšem v absolutních číslech byl zaznamenán nárůst této kategorie o 1 procentní bod (44,8 </w:t>
      </w:r>
      <w:r w:rsidRPr="00F348A6">
        <w:rPr>
          <w:rFonts w:cs="Arial"/>
          <w:sz w:val="22"/>
          <w:szCs w:val="22"/>
          <w:lang w:val="en-US"/>
        </w:rPr>
        <w:t>%</w:t>
      </w:r>
      <w:r w:rsidRPr="00F348A6">
        <w:rPr>
          <w:rFonts w:cs="Arial"/>
          <w:sz w:val="22"/>
          <w:szCs w:val="22"/>
        </w:rPr>
        <w:t xml:space="preserve"> oproti 43,8</w:t>
      </w:r>
      <w:r w:rsidRPr="00F348A6">
        <w:rPr>
          <w:rFonts w:cs="Arial"/>
          <w:sz w:val="22"/>
          <w:szCs w:val="22"/>
          <w:lang w:val="en-US"/>
        </w:rPr>
        <w:t xml:space="preserve"> % v </w:t>
      </w:r>
      <w:r w:rsidRPr="00F348A6">
        <w:rPr>
          <w:rFonts w:cs="Arial"/>
          <w:sz w:val="22"/>
          <w:szCs w:val="22"/>
        </w:rPr>
        <w:t>roce</w:t>
      </w:r>
      <w:r w:rsidRPr="00F348A6">
        <w:rPr>
          <w:rFonts w:cs="Arial"/>
          <w:sz w:val="22"/>
          <w:szCs w:val="22"/>
          <w:lang w:val="en-US"/>
        </w:rPr>
        <w:t xml:space="preserve"> 2010</w:t>
      </w:r>
      <w:r w:rsidRPr="00F348A6">
        <w:rPr>
          <w:rFonts w:cs="Arial"/>
          <w:sz w:val="22"/>
          <w:szCs w:val="22"/>
        </w:rPr>
        <w:t>). Přesto je alarmující, že pouze základní vzdělání (příp. nižší) má téměř každý druhý uchazeč. S nízkým vzděláním se častěji pojí také dlouhodobá nezaměstnanost – oproti vzdělanějším uchazečům o zaměstnání je pro významnou část uchazečů se základním vzděláním typická nezaměstnanost delší než 2 roky.</w:t>
      </w:r>
    </w:p>
    <w:p w:rsidR="00A64035" w:rsidRPr="00F348A6" w:rsidRDefault="00A64035" w:rsidP="00A64035">
      <w:pPr>
        <w:rPr>
          <w:rFonts w:cs="Arial"/>
          <w:sz w:val="22"/>
          <w:szCs w:val="22"/>
        </w:rPr>
      </w:pPr>
    </w:p>
    <w:p w:rsidR="00A64035" w:rsidRPr="00F348A6" w:rsidRDefault="00A64035" w:rsidP="00A64035">
      <w:pPr>
        <w:rPr>
          <w:rFonts w:cs="Arial"/>
          <w:sz w:val="22"/>
          <w:szCs w:val="22"/>
        </w:rPr>
      </w:pPr>
      <w:r w:rsidRPr="00F348A6">
        <w:rPr>
          <w:rFonts w:cs="Arial"/>
          <w:sz w:val="22"/>
          <w:szCs w:val="22"/>
        </w:rPr>
        <w:t xml:space="preserve">Při meziročním srovnání uchazečů pečujících o děti do 15 let došlo k mírnému nárůstu této kategorie o 30 v absolutních číslech a o 0,6 procentního bodu (12,9 </w:t>
      </w:r>
      <w:r w:rsidRPr="00F348A6">
        <w:rPr>
          <w:rFonts w:cs="Arial"/>
          <w:sz w:val="22"/>
          <w:szCs w:val="22"/>
          <w:lang w:val="en-US"/>
        </w:rPr>
        <w:t xml:space="preserve">% </w:t>
      </w:r>
      <w:r w:rsidRPr="00F348A6">
        <w:rPr>
          <w:rFonts w:cs="Arial"/>
          <w:sz w:val="22"/>
          <w:szCs w:val="22"/>
        </w:rPr>
        <w:t>oproti</w:t>
      </w:r>
      <w:r w:rsidRPr="00F348A6">
        <w:rPr>
          <w:rFonts w:cs="Arial"/>
          <w:sz w:val="22"/>
          <w:szCs w:val="22"/>
          <w:lang w:val="en-US"/>
        </w:rPr>
        <w:t xml:space="preserve"> 12,3 % </w:t>
      </w:r>
      <w:r w:rsidRPr="00F348A6">
        <w:rPr>
          <w:rFonts w:cs="Arial"/>
          <w:sz w:val="22"/>
          <w:szCs w:val="22"/>
        </w:rPr>
        <w:t xml:space="preserve">v roce 2010). Důvodem může být návrat silných ročníků 1976-1981 po rodičovské dovolené zpět </w:t>
      </w:r>
      <w:r>
        <w:rPr>
          <w:rFonts w:cs="Arial"/>
          <w:sz w:val="22"/>
          <w:szCs w:val="22"/>
        </w:rPr>
        <w:br/>
      </w:r>
      <w:r w:rsidRPr="00F348A6">
        <w:rPr>
          <w:rFonts w:cs="Arial"/>
          <w:sz w:val="22"/>
          <w:szCs w:val="22"/>
        </w:rPr>
        <w:t>na trh práce.</w:t>
      </w:r>
    </w:p>
    <w:p w:rsidR="00A64035" w:rsidRPr="00F348A6" w:rsidRDefault="00A64035" w:rsidP="00A64035">
      <w:pPr>
        <w:rPr>
          <w:rFonts w:cs="Arial"/>
          <w:sz w:val="22"/>
          <w:szCs w:val="22"/>
        </w:rPr>
      </w:pPr>
    </w:p>
    <w:p w:rsidR="00A64035" w:rsidRPr="00F348A6" w:rsidRDefault="00A64035" w:rsidP="00A64035">
      <w:pPr>
        <w:rPr>
          <w:rFonts w:cs="Arial"/>
          <w:sz w:val="22"/>
          <w:szCs w:val="22"/>
        </w:rPr>
      </w:pPr>
      <w:r w:rsidRPr="00F348A6">
        <w:rPr>
          <w:rFonts w:cs="Arial"/>
          <w:sz w:val="22"/>
          <w:szCs w:val="22"/>
        </w:rPr>
        <w:t xml:space="preserve">Podíl mladších 20 let na celku nezaměstnaných vzrostl v absolutních číslech o 45, což je </w:t>
      </w:r>
      <w:r>
        <w:rPr>
          <w:rFonts w:cs="Arial"/>
          <w:sz w:val="22"/>
          <w:szCs w:val="22"/>
        </w:rPr>
        <w:br/>
      </w:r>
      <w:r w:rsidRPr="00F348A6">
        <w:rPr>
          <w:rFonts w:cs="Arial"/>
          <w:sz w:val="22"/>
          <w:szCs w:val="22"/>
        </w:rPr>
        <w:t xml:space="preserve">o 0,6 procentního bodu (5,7 </w:t>
      </w:r>
      <w:r w:rsidRPr="00F348A6">
        <w:rPr>
          <w:rFonts w:cs="Arial"/>
          <w:sz w:val="22"/>
          <w:szCs w:val="22"/>
          <w:lang w:val="en-US"/>
        </w:rPr>
        <w:t xml:space="preserve">% </w:t>
      </w:r>
      <w:r w:rsidRPr="00F348A6">
        <w:rPr>
          <w:rFonts w:cs="Arial"/>
          <w:sz w:val="22"/>
          <w:szCs w:val="22"/>
        </w:rPr>
        <w:t>oproti</w:t>
      </w:r>
      <w:r w:rsidRPr="00F348A6">
        <w:rPr>
          <w:rFonts w:cs="Arial"/>
          <w:sz w:val="22"/>
          <w:szCs w:val="22"/>
          <w:lang w:val="en-US"/>
        </w:rPr>
        <w:t xml:space="preserve"> 5,1 %</w:t>
      </w:r>
      <w:r w:rsidRPr="00F348A6">
        <w:rPr>
          <w:rFonts w:cs="Arial"/>
          <w:sz w:val="22"/>
          <w:szCs w:val="22"/>
        </w:rPr>
        <w:t xml:space="preserve"> v roce 2010). Problémem mladých nezaměstnaných je nedostatek praxe, ostatní charakteristiky svědčí proti kumulaci handicapů:</w:t>
      </w:r>
    </w:p>
    <w:p w:rsidR="00A64035" w:rsidRPr="00F348A6" w:rsidRDefault="00A64035" w:rsidP="00557F1F">
      <w:pPr>
        <w:numPr>
          <w:ilvl w:val="1"/>
          <w:numId w:val="13"/>
        </w:numPr>
        <w:rPr>
          <w:rFonts w:cs="Arial"/>
          <w:sz w:val="22"/>
          <w:szCs w:val="22"/>
        </w:rPr>
      </w:pPr>
      <w:r w:rsidRPr="00F348A6">
        <w:rPr>
          <w:rFonts w:cs="Arial"/>
          <w:sz w:val="22"/>
          <w:szCs w:val="22"/>
        </w:rPr>
        <w:t xml:space="preserve">mladí lidé jsou častěji krátkodobě a méně často dlouhodobě nezaměstnaní </w:t>
      </w:r>
      <w:r>
        <w:rPr>
          <w:rFonts w:cs="Arial"/>
          <w:sz w:val="22"/>
          <w:szCs w:val="22"/>
        </w:rPr>
        <w:br/>
      </w:r>
      <w:r w:rsidRPr="00F348A6">
        <w:rPr>
          <w:rFonts w:cs="Arial"/>
          <w:sz w:val="22"/>
          <w:szCs w:val="22"/>
        </w:rPr>
        <w:t>než ostatní uchazeči</w:t>
      </w:r>
    </w:p>
    <w:p w:rsidR="00A64035" w:rsidRPr="00F348A6" w:rsidRDefault="00A64035" w:rsidP="00557F1F">
      <w:pPr>
        <w:numPr>
          <w:ilvl w:val="1"/>
          <w:numId w:val="13"/>
        </w:numPr>
        <w:rPr>
          <w:rFonts w:cs="Arial"/>
          <w:color w:val="000000"/>
          <w:sz w:val="22"/>
          <w:szCs w:val="22"/>
        </w:rPr>
      </w:pPr>
      <w:r w:rsidRPr="00F348A6">
        <w:rPr>
          <w:rFonts w:cs="Arial"/>
          <w:color w:val="000000"/>
          <w:sz w:val="22"/>
          <w:szCs w:val="22"/>
        </w:rPr>
        <w:t xml:space="preserve">poměr mužů a žen je zanedbatelný (50,4 </w:t>
      </w:r>
      <w:r w:rsidRPr="00F348A6">
        <w:rPr>
          <w:rFonts w:cs="Arial"/>
          <w:color w:val="000000"/>
          <w:sz w:val="22"/>
          <w:szCs w:val="22"/>
          <w:lang w:val="en-US"/>
        </w:rPr>
        <w:t>%</w:t>
      </w:r>
      <w:r w:rsidRPr="00F348A6">
        <w:rPr>
          <w:rFonts w:cs="Arial"/>
          <w:color w:val="000000"/>
          <w:sz w:val="22"/>
          <w:szCs w:val="22"/>
        </w:rPr>
        <w:t xml:space="preserve"> ku 49,6 </w:t>
      </w:r>
      <w:r w:rsidRPr="00F348A6">
        <w:rPr>
          <w:rFonts w:cs="Arial"/>
          <w:color w:val="000000"/>
          <w:sz w:val="22"/>
          <w:szCs w:val="22"/>
          <w:lang w:val="en-US"/>
        </w:rPr>
        <w:t>%</w:t>
      </w:r>
      <w:r w:rsidRPr="00F348A6">
        <w:rPr>
          <w:rFonts w:cs="Arial"/>
          <w:color w:val="000000"/>
          <w:sz w:val="22"/>
          <w:szCs w:val="22"/>
        </w:rPr>
        <w:t>)</w:t>
      </w:r>
    </w:p>
    <w:p w:rsidR="00A64035" w:rsidRPr="00F348A6" w:rsidRDefault="00A64035" w:rsidP="00557F1F">
      <w:pPr>
        <w:numPr>
          <w:ilvl w:val="1"/>
          <w:numId w:val="13"/>
        </w:numPr>
        <w:rPr>
          <w:rFonts w:cs="Arial"/>
          <w:color w:val="000000"/>
          <w:sz w:val="22"/>
          <w:szCs w:val="22"/>
        </w:rPr>
      </w:pPr>
      <w:r w:rsidRPr="00F348A6">
        <w:rPr>
          <w:rFonts w:cs="Arial"/>
          <w:color w:val="000000"/>
          <w:sz w:val="22"/>
          <w:szCs w:val="22"/>
        </w:rPr>
        <w:t>téměř výhradně nemají zdravotní omezení</w:t>
      </w:r>
    </w:p>
    <w:p w:rsidR="00A64035" w:rsidRPr="00F348A6" w:rsidRDefault="00A64035" w:rsidP="00557F1F">
      <w:pPr>
        <w:numPr>
          <w:ilvl w:val="1"/>
          <w:numId w:val="13"/>
        </w:numPr>
        <w:rPr>
          <w:rFonts w:cs="Arial"/>
          <w:sz w:val="22"/>
          <w:szCs w:val="22"/>
        </w:rPr>
      </w:pPr>
      <w:r w:rsidRPr="00F348A6">
        <w:rPr>
          <w:rFonts w:cs="Arial"/>
          <w:sz w:val="22"/>
          <w:szCs w:val="22"/>
        </w:rPr>
        <w:t xml:space="preserve">oproti starším uchazečům mají častěji základní vzdělání </w:t>
      </w:r>
    </w:p>
    <w:p w:rsidR="00A64035" w:rsidRPr="00F348A6" w:rsidRDefault="00A64035" w:rsidP="00A64035">
      <w:pPr>
        <w:rPr>
          <w:rFonts w:cs="Arial"/>
          <w:sz w:val="22"/>
          <w:szCs w:val="22"/>
        </w:rPr>
      </w:pPr>
    </w:p>
    <w:p w:rsidR="00A64035" w:rsidRPr="00F348A6" w:rsidRDefault="00A64035" w:rsidP="00A64035">
      <w:pPr>
        <w:rPr>
          <w:rFonts w:cs="Arial"/>
          <w:sz w:val="22"/>
          <w:szCs w:val="22"/>
        </w:rPr>
      </w:pPr>
      <w:r w:rsidRPr="00F348A6">
        <w:rPr>
          <w:rFonts w:cs="Arial"/>
          <w:sz w:val="22"/>
          <w:szCs w:val="22"/>
        </w:rPr>
        <w:t xml:space="preserve">Přestože z dlouhodobého hlediska vykazuje zastoupení uchazečů starších 50 let </w:t>
      </w:r>
      <w:r w:rsidR="0075074A">
        <w:rPr>
          <w:rFonts w:cs="Arial"/>
          <w:sz w:val="22"/>
          <w:szCs w:val="22"/>
        </w:rPr>
        <w:br/>
      </w:r>
      <w:r w:rsidRPr="00F348A6">
        <w:rPr>
          <w:rFonts w:cs="Arial"/>
          <w:sz w:val="22"/>
          <w:szCs w:val="22"/>
        </w:rPr>
        <w:t>na nezaměstnanosti celkově pozvolný, ale setrvalý nárůst, v posledních třech letech osciluje okolo 25</w:t>
      </w:r>
      <w:r w:rsidRPr="00F348A6">
        <w:rPr>
          <w:rFonts w:cs="Arial"/>
          <w:sz w:val="22"/>
          <w:szCs w:val="22"/>
          <w:lang w:val="en-US"/>
        </w:rPr>
        <w:t xml:space="preserve"> %. V </w:t>
      </w:r>
      <w:r w:rsidRPr="00F348A6">
        <w:rPr>
          <w:rFonts w:cs="Arial"/>
          <w:sz w:val="22"/>
          <w:szCs w:val="22"/>
        </w:rPr>
        <w:t>roce</w:t>
      </w:r>
      <w:r w:rsidRPr="00F348A6">
        <w:rPr>
          <w:rFonts w:cs="Arial"/>
          <w:sz w:val="22"/>
          <w:szCs w:val="22"/>
          <w:lang w:val="en-US"/>
        </w:rPr>
        <w:t xml:space="preserve"> 2011 se </w:t>
      </w:r>
      <w:r w:rsidRPr="00F348A6">
        <w:rPr>
          <w:rFonts w:cs="Arial"/>
          <w:sz w:val="22"/>
          <w:szCs w:val="22"/>
        </w:rPr>
        <w:t>jejich</w:t>
      </w:r>
      <w:r w:rsidRPr="00F348A6">
        <w:rPr>
          <w:rFonts w:cs="Arial"/>
          <w:sz w:val="22"/>
          <w:szCs w:val="22"/>
          <w:lang w:val="en-US"/>
        </w:rPr>
        <w:t xml:space="preserve"> </w:t>
      </w:r>
      <w:r w:rsidRPr="00F348A6">
        <w:rPr>
          <w:rFonts w:cs="Arial"/>
          <w:sz w:val="22"/>
          <w:szCs w:val="22"/>
        </w:rPr>
        <w:t>absolutní</w:t>
      </w:r>
      <w:r w:rsidRPr="00F348A6">
        <w:rPr>
          <w:rFonts w:cs="Arial"/>
          <w:sz w:val="22"/>
          <w:szCs w:val="22"/>
          <w:lang w:val="en-US"/>
        </w:rPr>
        <w:t xml:space="preserve"> </w:t>
      </w:r>
      <w:r w:rsidRPr="00F348A6">
        <w:rPr>
          <w:rFonts w:cs="Arial"/>
          <w:sz w:val="22"/>
          <w:szCs w:val="22"/>
        </w:rPr>
        <w:t>počet</w:t>
      </w:r>
      <w:r w:rsidRPr="00F348A6">
        <w:rPr>
          <w:rFonts w:cs="Arial"/>
          <w:sz w:val="22"/>
          <w:szCs w:val="22"/>
          <w:lang w:val="en-US"/>
        </w:rPr>
        <w:t xml:space="preserve"> </w:t>
      </w:r>
      <w:r w:rsidRPr="00F348A6">
        <w:rPr>
          <w:rFonts w:cs="Arial"/>
          <w:sz w:val="22"/>
          <w:szCs w:val="22"/>
        </w:rPr>
        <w:t>snížil</w:t>
      </w:r>
      <w:r w:rsidRPr="00F348A6">
        <w:rPr>
          <w:rFonts w:cs="Arial"/>
          <w:sz w:val="22"/>
          <w:szCs w:val="22"/>
          <w:lang w:val="en-US"/>
        </w:rPr>
        <w:t xml:space="preserve"> o 197 (</w:t>
      </w:r>
      <w:r w:rsidRPr="00F348A6">
        <w:rPr>
          <w:rFonts w:cs="Arial"/>
          <w:sz w:val="22"/>
          <w:szCs w:val="22"/>
        </w:rPr>
        <w:t>došlo</w:t>
      </w:r>
      <w:r w:rsidRPr="00F348A6">
        <w:rPr>
          <w:rFonts w:cs="Arial"/>
          <w:sz w:val="22"/>
          <w:szCs w:val="22"/>
          <w:lang w:val="en-US"/>
        </w:rPr>
        <w:t xml:space="preserve"> k </w:t>
      </w:r>
      <w:r w:rsidRPr="00F348A6">
        <w:rPr>
          <w:rFonts w:cs="Arial"/>
          <w:sz w:val="22"/>
          <w:szCs w:val="22"/>
        </w:rPr>
        <w:t>markantnímu</w:t>
      </w:r>
      <w:r w:rsidRPr="00F348A6">
        <w:rPr>
          <w:rFonts w:cs="Arial"/>
          <w:sz w:val="22"/>
          <w:szCs w:val="22"/>
          <w:lang w:val="en-US"/>
        </w:rPr>
        <w:t xml:space="preserve"> </w:t>
      </w:r>
      <w:r w:rsidRPr="00F348A6">
        <w:rPr>
          <w:rFonts w:cs="Arial"/>
          <w:sz w:val="22"/>
          <w:szCs w:val="22"/>
        </w:rPr>
        <w:t xml:space="preserve">snížení o </w:t>
      </w:r>
      <w:r>
        <w:rPr>
          <w:rFonts w:cs="Arial"/>
          <w:sz w:val="22"/>
          <w:szCs w:val="22"/>
          <w:lang w:val="en-US"/>
        </w:rPr>
        <w:t>1</w:t>
      </w:r>
      <w:proofErr w:type="gramStart"/>
      <w:r>
        <w:rPr>
          <w:rFonts w:cs="Arial"/>
          <w:sz w:val="22"/>
          <w:szCs w:val="22"/>
          <w:lang w:val="en-US"/>
        </w:rPr>
        <w:t>,6</w:t>
      </w:r>
      <w:proofErr w:type="gramEnd"/>
      <w:r w:rsidRPr="00F348A6">
        <w:rPr>
          <w:rFonts w:cs="Arial"/>
          <w:sz w:val="22"/>
          <w:szCs w:val="22"/>
          <w:lang w:val="en-US"/>
        </w:rPr>
        <w:t xml:space="preserve"> </w:t>
      </w:r>
      <w:r w:rsidRPr="00F348A6">
        <w:rPr>
          <w:rFonts w:cs="Arial"/>
          <w:sz w:val="22"/>
          <w:szCs w:val="22"/>
        </w:rPr>
        <w:t>procentního</w:t>
      </w:r>
      <w:r w:rsidRPr="00F348A6">
        <w:rPr>
          <w:rFonts w:cs="Arial"/>
          <w:sz w:val="22"/>
          <w:szCs w:val="22"/>
          <w:lang w:val="en-US"/>
        </w:rPr>
        <w:t xml:space="preserve"> </w:t>
      </w:r>
      <w:r w:rsidRPr="00F348A6">
        <w:rPr>
          <w:rFonts w:cs="Arial"/>
          <w:sz w:val="22"/>
          <w:szCs w:val="22"/>
        </w:rPr>
        <w:t>bodu</w:t>
      </w:r>
      <w:r w:rsidRPr="00F348A6">
        <w:rPr>
          <w:rFonts w:cs="Arial"/>
          <w:sz w:val="22"/>
          <w:szCs w:val="22"/>
          <w:lang w:val="en-US"/>
        </w:rPr>
        <w:t xml:space="preserve"> – </w:t>
      </w:r>
      <w:r w:rsidRPr="00F348A6">
        <w:rPr>
          <w:rFonts w:cs="Arial"/>
          <w:sz w:val="22"/>
          <w:szCs w:val="22"/>
        </w:rPr>
        <w:t>na</w:t>
      </w:r>
      <w:r w:rsidRPr="00F348A6">
        <w:rPr>
          <w:rFonts w:cs="Arial"/>
          <w:sz w:val="22"/>
          <w:szCs w:val="22"/>
          <w:lang w:val="en-US"/>
        </w:rPr>
        <w:t xml:space="preserve"> 24,5 % </w:t>
      </w:r>
      <w:r w:rsidRPr="00F348A6">
        <w:rPr>
          <w:rFonts w:cs="Arial"/>
          <w:sz w:val="22"/>
          <w:szCs w:val="22"/>
        </w:rPr>
        <w:t>oproti</w:t>
      </w:r>
      <w:r w:rsidRPr="00F348A6">
        <w:rPr>
          <w:rFonts w:cs="Arial"/>
          <w:sz w:val="22"/>
          <w:szCs w:val="22"/>
          <w:lang w:val="en-US"/>
        </w:rPr>
        <w:t xml:space="preserve"> 26,1 % v </w:t>
      </w:r>
      <w:r w:rsidRPr="00F348A6">
        <w:rPr>
          <w:rFonts w:cs="Arial"/>
          <w:sz w:val="22"/>
          <w:szCs w:val="22"/>
        </w:rPr>
        <w:t>roce</w:t>
      </w:r>
      <w:r w:rsidRPr="00F348A6">
        <w:rPr>
          <w:rFonts w:cs="Arial"/>
          <w:sz w:val="22"/>
          <w:szCs w:val="22"/>
          <w:lang w:val="en-US"/>
        </w:rPr>
        <w:t xml:space="preserve"> 2010</w:t>
      </w:r>
      <w:r w:rsidRPr="00F348A6">
        <w:rPr>
          <w:rFonts w:cs="Arial"/>
          <w:sz w:val="22"/>
          <w:szCs w:val="22"/>
        </w:rPr>
        <w:t>). Pro tuto skupinu je typickým handicapem především zhoršený zdravotní stav, který koreluje s věkem a délkou nezaměstnanosti.</w:t>
      </w:r>
    </w:p>
    <w:p w:rsidR="00A64035" w:rsidRPr="00F348A6" w:rsidRDefault="00A64035" w:rsidP="00A64035">
      <w:pPr>
        <w:rPr>
          <w:rFonts w:cs="Arial"/>
          <w:sz w:val="22"/>
          <w:szCs w:val="22"/>
        </w:rPr>
      </w:pPr>
    </w:p>
    <w:p w:rsidR="00A64035" w:rsidRPr="00F348A6" w:rsidRDefault="00A64035" w:rsidP="00A64035">
      <w:pPr>
        <w:rPr>
          <w:rFonts w:cs="Arial"/>
          <w:sz w:val="22"/>
          <w:szCs w:val="22"/>
        </w:rPr>
      </w:pPr>
      <w:r w:rsidRPr="00F348A6">
        <w:rPr>
          <w:rFonts w:cs="Arial"/>
          <w:sz w:val="22"/>
          <w:szCs w:val="22"/>
        </w:rPr>
        <w:t xml:space="preserve">Dlouhodobá nezaměstnanost je specifickou kategorií v tom smyslu, že je více, či méně důsledkem existence výše popsaných charakteristik. Jako taková je nejspolehlivějším ukazatelem rizikovosti určité skupiny na pracovním trhu. V uplynulém roce došlo k výraznému nárůstu podílu dlouhodobě evidovaných na celkové nezaměstnanosti – v absolutních číslech o 212, v procentech dokonce o 4 procentní body (63,4 </w:t>
      </w:r>
      <w:r w:rsidRPr="00F348A6">
        <w:rPr>
          <w:rFonts w:cs="Arial"/>
          <w:sz w:val="22"/>
          <w:szCs w:val="22"/>
          <w:lang w:val="en-US"/>
        </w:rPr>
        <w:t>%</w:t>
      </w:r>
      <w:r w:rsidRPr="00F348A6">
        <w:rPr>
          <w:rFonts w:cs="Arial"/>
          <w:sz w:val="22"/>
          <w:szCs w:val="22"/>
        </w:rPr>
        <w:t xml:space="preserve"> oproti 59,4</w:t>
      </w:r>
      <w:r w:rsidRPr="00F348A6">
        <w:rPr>
          <w:rFonts w:cs="Arial"/>
          <w:sz w:val="22"/>
          <w:szCs w:val="22"/>
          <w:lang w:val="en-US"/>
        </w:rPr>
        <w:t xml:space="preserve"> %</w:t>
      </w:r>
      <w:r w:rsidRPr="00F348A6">
        <w:rPr>
          <w:rFonts w:cs="Arial"/>
          <w:sz w:val="22"/>
          <w:szCs w:val="22"/>
        </w:rPr>
        <w:t xml:space="preserve"> oproti roku 2010). Mezi dlouhodobě nezaměstnanými jsou častěji zastoupeni lidé </w:t>
      </w:r>
      <w:r>
        <w:rPr>
          <w:rFonts w:cs="Arial"/>
          <w:sz w:val="22"/>
          <w:szCs w:val="22"/>
        </w:rPr>
        <w:br/>
      </w:r>
      <w:r w:rsidRPr="00F348A6">
        <w:rPr>
          <w:rFonts w:cs="Arial"/>
          <w:sz w:val="22"/>
          <w:szCs w:val="22"/>
        </w:rPr>
        <w:t xml:space="preserve">se zdravotními problémy, se základním a nižším vzděláním a starší 50 let. </w:t>
      </w:r>
    </w:p>
    <w:p w:rsidR="00A64035" w:rsidRPr="00F348A6" w:rsidRDefault="00A64035" w:rsidP="00A64035">
      <w:pPr>
        <w:jc w:val="both"/>
        <w:rPr>
          <w:rFonts w:cs="Arial"/>
          <w:sz w:val="22"/>
          <w:szCs w:val="22"/>
        </w:rPr>
      </w:pPr>
    </w:p>
    <w:p w:rsidR="00A64035" w:rsidRPr="00F348A6" w:rsidRDefault="00A64035" w:rsidP="00A64035">
      <w:pPr>
        <w:pStyle w:val="Zkladntext2"/>
        <w:jc w:val="both"/>
        <w:rPr>
          <w:rFonts w:ascii="Arial" w:hAnsi="Arial" w:cs="Arial"/>
          <w:color w:val="FF0000"/>
          <w:sz w:val="22"/>
          <w:szCs w:val="22"/>
        </w:rPr>
      </w:pPr>
    </w:p>
    <w:tbl>
      <w:tblPr>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48"/>
        <w:gridCol w:w="2100"/>
        <w:gridCol w:w="2100"/>
      </w:tblGrid>
      <w:tr w:rsidR="00A64035" w:rsidRPr="00F348A6" w:rsidTr="0075074A">
        <w:tc>
          <w:tcPr>
            <w:tcW w:w="5448" w:type="dxa"/>
            <w:vMerge w:val="restart"/>
            <w:tcBorders>
              <w:top w:val="double" w:sz="4" w:space="0" w:color="auto"/>
              <w:left w:val="double" w:sz="4" w:space="0" w:color="auto"/>
              <w:bottom w:val="double" w:sz="4" w:space="0" w:color="auto"/>
              <w:right w:val="single" w:sz="12" w:space="0" w:color="auto"/>
            </w:tcBorders>
            <w:shd w:val="clear" w:color="auto" w:fill="C0C0C0"/>
            <w:vAlign w:val="center"/>
            <w:hideMark/>
          </w:tcPr>
          <w:p w:rsidR="00A64035" w:rsidRPr="00F348A6" w:rsidRDefault="00A64035" w:rsidP="0075074A">
            <w:pPr>
              <w:jc w:val="center"/>
              <w:rPr>
                <w:rFonts w:cs="Arial"/>
                <w:b/>
                <w:sz w:val="22"/>
                <w:szCs w:val="22"/>
              </w:rPr>
            </w:pPr>
            <w:r w:rsidRPr="00F348A6">
              <w:rPr>
                <w:rFonts w:cs="Arial"/>
                <w:b/>
                <w:sz w:val="22"/>
                <w:szCs w:val="22"/>
              </w:rPr>
              <w:t>skupina uchazečů</w:t>
            </w:r>
          </w:p>
        </w:tc>
        <w:tc>
          <w:tcPr>
            <w:tcW w:w="4200" w:type="dxa"/>
            <w:gridSpan w:val="2"/>
            <w:tcBorders>
              <w:top w:val="double" w:sz="4" w:space="0" w:color="auto"/>
              <w:left w:val="single" w:sz="12" w:space="0" w:color="auto"/>
              <w:bottom w:val="single" w:sz="4" w:space="0" w:color="auto"/>
              <w:right w:val="double" w:sz="4" w:space="0" w:color="auto"/>
            </w:tcBorders>
            <w:shd w:val="clear" w:color="auto" w:fill="C0C0C0"/>
            <w:vAlign w:val="center"/>
            <w:hideMark/>
          </w:tcPr>
          <w:p w:rsidR="00A64035" w:rsidRPr="00F348A6" w:rsidRDefault="00A64035" w:rsidP="0075074A">
            <w:pPr>
              <w:pStyle w:val="Zkladntext2"/>
              <w:jc w:val="center"/>
              <w:rPr>
                <w:rFonts w:ascii="Arial" w:hAnsi="Arial" w:cs="Arial"/>
                <w:sz w:val="22"/>
                <w:szCs w:val="22"/>
              </w:rPr>
            </w:pPr>
            <w:r w:rsidRPr="00F348A6">
              <w:rPr>
                <w:rFonts w:ascii="Arial" w:hAnsi="Arial" w:cs="Arial"/>
                <w:b w:val="0"/>
                <w:bCs w:val="0"/>
                <w:sz w:val="22"/>
                <w:szCs w:val="22"/>
              </w:rPr>
              <w:t>stav k</w:t>
            </w:r>
          </w:p>
        </w:tc>
      </w:tr>
      <w:tr w:rsidR="00A64035" w:rsidRPr="00F348A6" w:rsidTr="0075074A">
        <w:tc>
          <w:tcPr>
            <w:tcW w:w="0" w:type="auto"/>
            <w:vMerge/>
            <w:tcBorders>
              <w:top w:val="double" w:sz="4" w:space="0" w:color="auto"/>
              <w:left w:val="double" w:sz="4" w:space="0" w:color="auto"/>
              <w:bottom w:val="double" w:sz="4" w:space="0" w:color="auto"/>
              <w:right w:val="single" w:sz="12" w:space="0" w:color="auto"/>
            </w:tcBorders>
            <w:vAlign w:val="center"/>
            <w:hideMark/>
          </w:tcPr>
          <w:p w:rsidR="00A64035" w:rsidRPr="00F348A6" w:rsidRDefault="00A64035" w:rsidP="0075074A">
            <w:pPr>
              <w:rPr>
                <w:rFonts w:cs="Arial"/>
                <w:b/>
                <w:sz w:val="22"/>
                <w:szCs w:val="22"/>
              </w:rPr>
            </w:pPr>
          </w:p>
        </w:tc>
        <w:tc>
          <w:tcPr>
            <w:tcW w:w="2100" w:type="dxa"/>
            <w:tcBorders>
              <w:top w:val="single" w:sz="4" w:space="0" w:color="auto"/>
              <w:left w:val="single" w:sz="12" w:space="0" w:color="auto"/>
              <w:bottom w:val="double" w:sz="4" w:space="0" w:color="auto"/>
              <w:right w:val="single" w:sz="4" w:space="0" w:color="auto"/>
            </w:tcBorders>
            <w:shd w:val="clear" w:color="auto" w:fill="C0C0C0"/>
            <w:vAlign w:val="center"/>
            <w:hideMark/>
          </w:tcPr>
          <w:p w:rsidR="00A64035" w:rsidRPr="00F348A6" w:rsidRDefault="00A64035" w:rsidP="0075074A">
            <w:pPr>
              <w:pStyle w:val="Zkladntext2"/>
              <w:jc w:val="center"/>
              <w:rPr>
                <w:rFonts w:ascii="Arial" w:hAnsi="Arial" w:cs="Arial"/>
                <w:sz w:val="22"/>
                <w:szCs w:val="22"/>
              </w:rPr>
            </w:pPr>
            <w:r w:rsidRPr="00F348A6">
              <w:rPr>
                <w:rFonts w:ascii="Arial" w:hAnsi="Arial" w:cs="Arial"/>
                <w:b w:val="0"/>
                <w:bCs w:val="0"/>
                <w:sz w:val="22"/>
                <w:szCs w:val="22"/>
              </w:rPr>
              <w:t>31. 12. 2010</w:t>
            </w:r>
          </w:p>
        </w:tc>
        <w:tc>
          <w:tcPr>
            <w:tcW w:w="2100" w:type="dxa"/>
            <w:tcBorders>
              <w:top w:val="single" w:sz="4" w:space="0" w:color="auto"/>
              <w:left w:val="single" w:sz="4" w:space="0" w:color="auto"/>
              <w:bottom w:val="double" w:sz="4" w:space="0" w:color="auto"/>
              <w:right w:val="double" w:sz="4" w:space="0" w:color="auto"/>
            </w:tcBorders>
            <w:shd w:val="clear" w:color="auto" w:fill="C0C0C0"/>
            <w:vAlign w:val="center"/>
            <w:hideMark/>
          </w:tcPr>
          <w:p w:rsidR="00A64035" w:rsidRPr="00F348A6" w:rsidRDefault="00A64035" w:rsidP="0075074A">
            <w:pPr>
              <w:pStyle w:val="Zkladntext2"/>
              <w:jc w:val="center"/>
              <w:rPr>
                <w:rFonts w:ascii="Arial" w:hAnsi="Arial" w:cs="Arial"/>
                <w:sz w:val="22"/>
                <w:szCs w:val="22"/>
              </w:rPr>
            </w:pPr>
            <w:r w:rsidRPr="00F348A6">
              <w:rPr>
                <w:rFonts w:ascii="Arial" w:hAnsi="Arial" w:cs="Arial"/>
                <w:b w:val="0"/>
                <w:bCs w:val="0"/>
                <w:sz w:val="22"/>
                <w:szCs w:val="22"/>
              </w:rPr>
              <w:t>31. 12. 2011</w:t>
            </w:r>
          </w:p>
        </w:tc>
      </w:tr>
      <w:tr w:rsidR="00A64035" w:rsidRPr="00F348A6" w:rsidTr="0075074A">
        <w:tc>
          <w:tcPr>
            <w:tcW w:w="5448" w:type="dxa"/>
            <w:tcBorders>
              <w:top w:val="double" w:sz="4" w:space="0" w:color="auto"/>
              <w:left w:val="double" w:sz="4" w:space="0" w:color="auto"/>
              <w:bottom w:val="single" w:sz="4" w:space="0" w:color="auto"/>
              <w:right w:val="single" w:sz="12" w:space="0" w:color="auto"/>
            </w:tcBorders>
            <w:shd w:val="clear" w:color="auto" w:fill="EAEAEA"/>
            <w:hideMark/>
          </w:tcPr>
          <w:p w:rsidR="00A64035" w:rsidRPr="00F348A6" w:rsidRDefault="00A64035" w:rsidP="0075074A">
            <w:pPr>
              <w:rPr>
                <w:rFonts w:cs="Arial"/>
                <w:sz w:val="22"/>
                <w:szCs w:val="22"/>
              </w:rPr>
            </w:pPr>
            <w:r w:rsidRPr="00F348A6">
              <w:rPr>
                <w:rFonts w:cs="Arial"/>
                <w:sz w:val="22"/>
                <w:szCs w:val="22"/>
              </w:rPr>
              <w:t>dlouhodobě nezaměstnaní</w:t>
            </w:r>
          </w:p>
        </w:tc>
        <w:tc>
          <w:tcPr>
            <w:tcW w:w="2100" w:type="dxa"/>
            <w:tcBorders>
              <w:top w:val="double" w:sz="4" w:space="0" w:color="auto"/>
              <w:left w:val="single" w:sz="12" w:space="0" w:color="auto"/>
              <w:bottom w:val="single" w:sz="4" w:space="0" w:color="auto"/>
              <w:right w:val="sing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5 492</w:t>
            </w:r>
          </w:p>
        </w:tc>
        <w:tc>
          <w:tcPr>
            <w:tcW w:w="2100" w:type="dxa"/>
            <w:tcBorders>
              <w:top w:val="doub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5 704</w:t>
            </w:r>
          </w:p>
        </w:tc>
      </w:tr>
      <w:tr w:rsidR="00A64035" w:rsidRPr="00F348A6" w:rsidTr="0075074A">
        <w:tc>
          <w:tcPr>
            <w:tcW w:w="544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F348A6" w:rsidRDefault="00A64035" w:rsidP="0075074A">
            <w:pPr>
              <w:rPr>
                <w:rFonts w:cs="Arial"/>
                <w:sz w:val="22"/>
                <w:szCs w:val="22"/>
              </w:rPr>
            </w:pPr>
            <w:r w:rsidRPr="00F348A6">
              <w:rPr>
                <w:rFonts w:cs="Arial"/>
                <w:sz w:val="22"/>
                <w:szCs w:val="22"/>
              </w:rPr>
              <w:t>občané s nízkou úrovní kvalifikace nebo s neuplatnitelnou kvalifikací na trhu práce</w:t>
            </w:r>
          </w:p>
        </w:tc>
        <w:tc>
          <w:tcPr>
            <w:tcW w:w="2100" w:type="dxa"/>
            <w:tcBorders>
              <w:top w:val="single" w:sz="4" w:space="0" w:color="auto"/>
              <w:left w:val="single" w:sz="12" w:space="0" w:color="auto"/>
              <w:bottom w:val="single" w:sz="4" w:space="0" w:color="auto"/>
              <w:right w:val="sing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3 973</w:t>
            </w:r>
          </w:p>
        </w:tc>
        <w:tc>
          <w:tcPr>
            <w:tcW w:w="2100"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3 965</w:t>
            </w:r>
          </w:p>
        </w:tc>
      </w:tr>
      <w:tr w:rsidR="00A64035" w:rsidRPr="00F348A6" w:rsidTr="0075074A">
        <w:tc>
          <w:tcPr>
            <w:tcW w:w="544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F348A6" w:rsidRDefault="00A64035" w:rsidP="0075074A">
            <w:pPr>
              <w:rPr>
                <w:rFonts w:cs="Arial"/>
                <w:sz w:val="22"/>
                <w:szCs w:val="22"/>
              </w:rPr>
            </w:pPr>
            <w:r w:rsidRPr="00F348A6">
              <w:rPr>
                <w:rFonts w:cs="Arial"/>
                <w:sz w:val="22"/>
                <w:szCs w:val="22"/>
              </w:rPr>
              <w:t>uchazeči bez kvalifikace</w:t>
            </w:r>
          </w:p>
        </w:tc>
        <w:tc>
          <w:tcPr>
            <w:tcW w:w="2100" w:type="dxa"/>
            <w:tcBorders>
              <w:top w:val="single" w:sz="4" w:space="0" w:color="auto"/>
              <w:left w:val="single" w:sz="12" w:space="0" w:color="auto"/>
              <w:bottom w:val="single" w:sz="4" w:space="0" w:color="auto"/>
              <w:right w:val="sing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77</w:t>
            </w:r>
          </w:p>
        </w:tc>
        <w:tc>
          <w:tcPr>
            <w:tcW w:w="2100"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82</w:t>
            </w:r>
          </w:p>
        </w:tc>
      </w:tr>
      <w:tr w:rsidR="00A64035" w:rsidRPr="00F348A6" w:rsidTr="0075074A">
        <w:tc>
          <w:tcPr>
            <w:tcW w:w="544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F348A6" w:rsidRDefault="00A64035" w:rsidP="0075074A">
            <w:pPr>
              <w:rPr>
                <w:rFonts w:cs="Arial"/>
                <w:sz w:val="22"/>
                <w:szCs w:val="22"/>
              </w:rPr>
            </w:pPr>
            <w:r w:rsidRPr="00F348A6">
              <w:rPr>
                <w:rFonts w:cs="Arial"/>
                <w:sz w:val="22"/>
                <w:szCs w:val="22"/>
              </w:rPr>
              <w:t>uchazeči pečující o děti do 15 let</w:t>
            </w:r>
          </w:p>
        </w:tc>
        <w:tc>
          <w:tcPr>
            <w:tcW w:w="2100" w:type="dxa"/>
            <w:tcBorders>
              <w:top w:val="single" w:sz="4" w:space="0" w:color="auto"/>
              <w:left w:val="single" w:sz="12" w:space="0" w:color="auto"/>
              <w:bottom w:val="single" w:sz="4" w:space="0" w:color="auto"/>
              <w:right w:val="sing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1 132</w:t>
            </w:r>
          </w:p>
        </w:tc>
        <w:tc>
          <w:tcPr>
            <w:tcW w:w="2100"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1 162</w:t>
            </w:r>
          </w:p>
        </w:tc>
      </w:tr>
      <w:tr w:rsidR="00A64035" w:rsidRPr="00F348A6" w:rsidTr="0075074A">
        <w:tc>
          <w:tcPr>
            <w:tcW w:w="544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F348A6" w:rsidRDefault="00A64035" w:rsidP="0075074A">
            <w:pPr>
              <w:rPr>
                <w:rFonts w:cs="Arial"/>
                <w:sz w:val="22"/>
                <w:szCs w:val="22"/>
              </w:rPr>
            </w:pPr>
            <w:r w:rsidRPr="00F348A6">
              <w:rPr>
                <w:rFonts w:cs="Arial"/>
                <w:sz w:val="22"/>
                <w:szCs w:val="22"/>
              </w:rPr>
              <w:t>uchazeči do 20 let věku</w:t>
            </w:r>
          </w:p>
        </w:tc>
        <w:tc>
          <w:tcPr>
            <w:tcW w:w="2100" w:type="dxa"/>
            <w:tcBorders>
              <w:top w:val="single" w:sz="4" w:space="0" w:color="auto"/>
              <w:left w:val="single" w:sz="12" w:space="0" w:color="auto"/>
              <w:bottom w:val="single" w:sz="4" w:space="0" w:color="auto"/>
              <w:right w:val="sing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469</w:t>
            </w:r>
          </w:p>
        </w:tc>
        <w:tc>
          <w:tcPr>
            <w:tcW w:w="2100" w:type="dxa"/>
            <w:tcBorders>
              <w:top w:val="single" w:sz="4" w:space="0" w:color="auto"/>
              <w:left w:val="single" w:sz="4" w:space="0" w:color="auto"/>
              <w:bottom w:val="single" w:sz="4" w:space="0" w:color="auto"/>
              <w:right w:val="doub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514</w:t>
            </w:r>
          </w:p>
        </w:tc>
      </w:tr>
      <w:tr w:rsidR="00A64035" w:rsidRPr="00F348A6" w:rsidTr="0075074A">
        <w:tc>
          <w:tcPr>
            <w:tcW w:w="5448" w:type="dxa"/>
            <w:tcBorders>
              <w:top w:val="single" w:sz="4" w:space="0" w:color="auto"/>
              <w:left w:val="double" w:sz="4" w:space="0" w:color="auto"/>
              <w:bottom w:val="double" w:sz="4" w:space="0" w:color="auto"/>
              <w:right w:val="single" w:sz="12" w:space="0" w:color="auto"/>
            </w:tcBorders>
            <w:shd w:val="clear" w:color="auto" w:fill="EAEAEA"/>
            <w:hideMark/>
          </w:tcPr>
          <w:p w:rsidR="00A64035" w:rsidRPr="00F348A6" w:rsidRDefault="00A64035" w:rsidP="0075074A">
            <w:pPr>
              <w:rPr>
                <w:rFonts w:cs="Arial"/>
                <w:sz w:val="22"/>
                <w:szCs w:val="22"/>
              </w:rPr>
            </w:pPr>
            <w:r w:rsidRPr="00F348A6">
              <w:rPr>
                <w:rFonts w:cs="Arial"/>
                <w:sz w:val="22"/>
                <w:szCs w:val="22"/>
              </w:rPr>
              <w:t>uchazeči nad 50 let věku</w:t>
            </w:r>
          </w:p>
        </w:tc>
        <w:tc>
          <w:tcPr>
            <w:tcW w:w="2100" w:type="dxa"/>
            <w:tcBorders>
              <w:top w:val="single" w:sz="4" w:space="0" w:color="auto"/>
              <w:left w:val="single" w:sz="12" w:space="0" w:color="auto"/>
              <w:bottom w:val="double" w:sz="4" w:space="0" w:color="auto"/>
              <w:right w:val="sing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2 411</w:t>
            </w:r>
          </w:p>
        </w:tc>
        <w:tc>
          <w:tcPr>
            <w:tcW w:w="2100" w:type="dxa"/>
            <w:tcBorders>
              <w:top w:val="single" w:sz="4" w:space="0" w:color="auto"/>
              <w:left w:val="single" w:sz="4" w:space="0" w:color="auto"/>
              <w:bottom w:val="double" w:sz="4" w:space="0" w:color="auto"/>
              <w:right w:val="double" w:sz="4" w:space="0" w:color="auto"/>
            </w:tcBorders>
            <w:vAlign w:val="center"/>
            <w:hideMark/>
          </w:tcPr>
          <w:p w:rsidR="00A64035" w:rsidRPr="00F348A6" w:rsidRDefault="00A64035" w:rsidP="0075074A">
            <w:pPr>
              <w:ind w:right="567"/>
              <w:jc w:val="right"/>
              <w:rPr>
                <w:rFonts w:cs="Arial"/>
                <w:sz w:val="22"/>
                <w:szCs w:val="22"/>
              </w:rPr>
            </w:pPr>
            <w:r w:rsidRPr="00F348A6">
              <w:rPr>
                <w:rFonts w:cs="Arial"/>
                <w:sz w:val="22"/>
                <w:szCs w:val="22"/>
              </w:rPr>
              <w:t>2 214</w:t>
            </w:r>
          </w:p>
        </w:tc>
      </w:tr>
    </w:tbl>
    <w:p w:rsidR="00A64035" w:rsidRPr="00F348A6" w:rsidRDefault="00A64035" w:rsidP="00A64035">
      <w:pPr>
        <w:rPr>
          <w:lang w:eastAsia="x-none"/>
        </w:rPr>
      </w:pPr>
    </w:p>
    <w:p w:rsidR="00A64035" w:rsidRDefault="00A64035" w:rsidP="00A64035">
      <w:pPr>
        <w:rPr>
          <w:rFonts w:cs="Arial"/>
          <w:sz w:val="22"/>
          <w:szCs w:val="22"/>
        </w:rPr>
      </w:pPr>
    </w:p>
    <w:p w:rsidR="00A64035" w:rsidRDefault="00A64035" w:rsidP="0075074A">
      <w:pPr>
        <w:pStyle w:val="Nadpis3"/>
      </w:pPr>
      <w:r>
        <w:lastRenderedPageBreak/>
        <w:t>Charakteristika okresu a ohrožených mikroregionů</w:t>
      </w:r>
    </w:p>
    <w:p w:rsidR="00A64035" w:rsidRDefault="00A64035" w:rsidP="00A64035">
      <w:pPr>
        <w:rPr>
          <w:lang w:eastAsia="x-none"/>
        </w:rPr>
      </w:pPr>
    </w:p>
    <w:p w:rsidR="00A64035" w:rsidRPr="00463430" w:rsidRDefault="00A64035" w:rsidP="00557F1F">
      <w:pPr>
        <w:numPr>
          <w:ilvl w:val="0"/>
          <w:numId w:val="14"/>
        </w:numPr>
        <w:ind w:left="723"/>
        <w:rPr>
          <w:rFonts w:cs="Arial"/>
          <w:sz w:val="22"/>
          <w:szCs w:val="22"/>
        </w:rPr>
      </w:pPr>
      <w:r w:rsidRPr="00463430">
        <w:rPr>
          <w:rFonts w:cs="Arial"/>
          <w:sz w:val="22"/>
          <w:szCs w:val="22"/>
        </w:rPr>
        <w:t>okres Chomutov se rozprostírá v jihozápadní části Ústeckého kraje</w:t>
      </w:r>
    </w:p>
    <w:p w:rsidR="00A64035" w:rsidRPr="00463430" w:rsidRDefault="00A64035" w:rsidP="00557F1F">
      <w:pPr>
        <w:numPr>
          <w:ilvl w:val="0"/>
          <w:numId w:val="14"/>
        </w:numPr>
        <w:ind w:left="723"/>
        <w:rPr>
          <w:rFonts w:cs="Arial"/>
          <w:sz w:val="22"/>
          <w:szCs w:val="22"/>
        </w:rPr>
      </w:pPr>
      <w:r w:rsidRPr="00463430">
        <w:rPr>
          <w:rFonts w:cs="Arial"/>
          <w:sz w:val="22"/>
          <w:szCs w:val="22"/>
        </w:rPr>
        <w:t xml:space="preserve">rozlohou 935 km² patří mezi středně velké regiony ČR, v Ústeckém kraji je </w:t>
      </w:r>
      <w:r w:rsidR="0075074A">
        <w:rPr>
          <w:rFonts w:cs="Arial"/>
          <w:sz w:val="22"/>
          <w:szCs w:val="22"/>
        </w:rPr>
        <w:br/>
      </w:r>
      <w:r w:rsidRPr="00463430">
        <w:rPr>
          <w:rFonts w:cs="Arial"/>
          <w:sz w:val="22"/>
          <w:szCs w:val="22"/>
        </w:rPr>
        <w:t>po Lounsku a Litoměřicku třetím největším</w:t>
      </w:r>
    </w:p>
    <w:p w:rsidR="00A64035" w:rsidRPr="00463430" w:rsidRDefault="00A64035" w:rsidP="00557F1F">
      <w:pPr>
        <w:numPr>
          <w:ilvl w:val="0"/>
          <w:numId w:val="14"/>
        </w:numPr>
        <w:ind w:left="723"/>
        <w:rPr>
          <w:rFonts w:cs="Arial"/>
          <w:sz w:val="22"/>
          <w:szCs w:val="22"/>
        </w:rPr>
      </w:pPr>
      <w:r w:rsidRPr="00463430">
        <w:rPr>
          <w:rFonts w:cs="Arial"/>
          <w:sz w:val="22"/>
          <w:szCs w:val="22"/>
        </w:rPr>
        <w:t>hustotou zalidnění 133 obyvatel na 1 km² patří v rámci ČR mezi více lidnaté, v rámci Ústeckého kraje je však až na pátém místě</w:t>
      </w:r>
    </w:p>
    <w:p w:rsidR="00A64035" w:rsidRDefault="00A64035" w:rsidP="00557F1F">
      <w:pPr>
        <w:numPr>
          <w:ilvl w:val="0"/>
          <w:numId w:val="14"/>
        </w:numPr>
        <w:ind w:left="723"/>
        <w:rPr>
          <w:rFonts w:cs="Arial"/>
          <w:sz w:val="22"/>
          <w:szCs w:val="22"/>
        </w:rPr>
      </w:pPr>
      <w:r w:rsidRPr="00463430">
        <w:rPr>
          <w:rFonts w:cs="Arial"/>
          <w:sz w:val="22"/>
          <w:szCs w:val="22"/>
        </w:rPr>
        <w:t>obyvatelstvo bydlí ve 44 obcích, z nichž 39 je venkovského typu</w:t>
      </w:r>
    </w:p>
    <w:p w:rsidR="00A64035" w:rsidRPr="00E0381D" w:rsidRDefault="00A64035" w:rsidP="00557F1F">
      <w:pPr>
        <w:numPr>
          <w:ilvl w:val="2"/>
          <w:numId w:val="20"/>
        </w:numPr>
        <w:ind w:left="1097"/>
        <w:rPr>
          <w:rFonts w:cs="Arial"/>
          <w:sz w:val="22"/>
          <w:szCs w:val="22"/>
        </w:rPr>
      </w:pPr>
      <w:r w:rsidRPr="00E0381D">
        <w:rPr>
          <w:rFonts w:cs="Arial"/>
          <w:sz w:val="22"/>
          <w:szCs w:val="22"/>
        </w:rPr>
        <w:t>významnou částí sídelní struktury jsou města (</w:t>
      </w:r>
      <w:r w:rsidRPr="00E0381D">
        <w:rPr>
          <w:rFonts w:cs="Arial"/>
          <w:bCs/>
          <w:sz w:val="22"/>
          <w:szCs w:val="22"/>
        </w:rPr>
        <w:t>největší je Chomutov s cca 50 tis. obyvatel)</w:t>
      </w:r>
      <w:r w:rsidRPr="00E0381D">
        <w:rPr>
          <w:rFonts w:cs="Arial"/>
          <w:sz w:val="22"/>
          <w:szCs w:val="22"/>
        </w:rPr>
        <w:t>; obyvatelé pěti měst se v současnosti podílejí na celkovém počtu 87 %</w:t>
      </w:r>
    </w:p>
    <w:p w:rsidR="00A64035" w:rsidRPr="00463430" w:rsidRDefault="00A64035" w:rsidP="00557F1F">
      <w:pPr>
        <w:numPr>
          <w:ilvl w:val="0"/>
          <w:numId w:val="14"/>
        </w:numPr>
        <w:ind w:left="723"/>
        <w:rPr>
          <w:rFonts w:cs="Arial"/>
          <w:sz w:val="22"/>
          <w:szCs w:val="22"/>
        </w:rPr>
      </w:pPr>
      <w:r w:rsidRPr="00463430">
        <w:rPr>
          <w:rFonts w:cs="Arial"/>
          <w:sz w:val="22"/>
          <w:szCs w:val="22"/>
        </w:rPr>
        <w:t>ke dni Sčítání lidu, domů a bytů (1. 3. 2001) mělo v regionu trvalý pobyt 124 979 osob, což je 15 % z celého Ústeckého kraje a 1,2 % z celé ČR</w:t>
      </w:r>
    </w:p>
    <w:p w:rsidR="00A64035" w:rsidRDefault="00A64035" w:rsidP="00557F1F">
      <w:pPr>
        <w:numPr>
          <w:ilvl w:val="1"/>
          <w:numId w:val="14"/>
        </w:numPr>
        <w:ind w:left="1097"/>
        <w:rPr>
          <w:rFonts w:cs="Arial"/>
          <w:sz w:val="22"/>
          <w:szCs w:val="22"/>
        </w:rPr>
      </w:pPr>
      <w:r w:rsidRPr="007D49C6">
        <w:rPr>
          <w:rFonts w:cs="Arial"/>
          <w:sz w:val="22"/>
          <w:szCs w:val="22"/>
        </w:rPr>
        <w:t xml:space="preserve">v rámci Ústeckého kraje jde o třetí nejčetnější populaci (po regionech Děčín </w:t>
      </w:r>
      <w:r w:rsidR="0075074A">
        <w:rPr>
          <w:rFonts w:cs="Arial"/>
          <w:sz w:val="22"/>
          <w:szCs w:val="22"/>
        </w:rPr>
        <w:br/>
      </w:r>
      <w:r w:rsidRPr="007D49C6">
        <w:rPr>
          <w:rFonts w:cs="Arial"/>
          <w:sz w:val="22"/>
          <w:szCs w:val="22"/>
        </w:rPr>
        <w:t>a Teplice)</w:t>
      </w:r>
    </w:p>
    <w:p w:rsidR="00A64035" w:rsidRPr="007D49C6" w:rsidRDefault="00A64035" w:rsidP="00557F1F">
      <w:pPr>
        <w:numPr>
          <w:ilvl w:val="1"/>
          <w:numId w:val="14"/>
        </w:numPr>
        <w:ind w:left="1097"/>
        <w:rPr>
          <w:rFonts w:cs="Arial"/>
          <w:sz w:val="22"/>
          <w:szCs w:val="22"/>
        </w:rPr>
      </w:pPr>
      <w:r w:rsidRPr="007D49C6">
        <w:rPr>
          <w:rFonts w:cs="Arial"/>
          <w:sz w:val="22"/>
          <w:szCs w:val="22"/>
        </w:rPr>
        <w:t>počet obyvatel se mezi dvěma Sčítáními (1991, 2001) významněji nezměnil</w:t>
      </w:r>
    </w:p>
    <w:p w:rsidR="00A64035" w:rsidRPr="00463430" w:rsidRDefault="00A64035" w:rsidP="00557F1F">
      <w:pPr>
        <w:numPr>
          <w:ilvl w:val="0"/>
          <w:numId w:val="14"/>
        </w:numPr>
        <w:ind w:left="723"/>
        <w:rPr>
          <w:rFonts w:cs="Arial"/>
          <w:sz w:val="22"/>
          <w:szCs w:val="22"/>
        </w:rPr>
      </w:pPr>
      <w:r w:rsidRPr="00463430">
        <w:rPr>
          <w:rFonts w:cs="Arial"/>
          <w:sz w:val="22"/>
          <w:szCs w:val="22"/>
        </w:rPr>
        <w:t>více než 90 % obyvatel žije na 44 % území regionu (v tzv. průmyslové oblasti), hustota obyvatel ve zbylých oblastech regionu (horská, zemědělská) je značně nízká</w:t>
      </w:r>
    </w:p>
    <w:p w:rsidR="00A64035" w:rsidRPr="00463430" w:rsidRDefault="00A64035" w:rsidP="00557F1F">
      <w:pPr>
        <w:numPr>
          <w:ilvl w:val="0"/>
          <w:numId w:val="14"/>
        </w:numPr>
        <w:ind w:left="723"/>
        <w:rPr>
          <w:rFonts w:cs="Arial"/>
          <w:sz w:val="22"/>
          <w:szCs w:val="22"/>
        </w:rPr>
      </w:pPr>
      <w:r w:rsidRPr="00463430">
        <w:rPr>
          <w:rFonts w:cs="Arial"/>
          <w:sz w:val="22"/>
          <w:szCs w:val="22"/>
        </w:rPr>
        <w:t>v okrese Chomutov mírně převažují ženy (51 %) a to díky vyššímu zastoupení v kategorii poproduktivního obyvatelstva (59 % žen)</w:t>
      </w:r>
    </w:p>
    <w:p w:rsidR="00A64035" w:rsidRPr="00463430" w:rsidRDefault="00A64035" w:rsidP="00557F1F">
      <w:pPr>
        <w:numPr>
          <w:ilvl w:val="0"/>
          <w:numId w:val="14"/>
        </w:numPr>
        <w:ind w:left="723"/>
        <w:rPr>
          <w:rFonts w:cs="Arial"/>
          <w:sz w:val="22"/>
          <w:szCs w:val="22"/>
        </w:rPr>
      </w:pPr>
      <w:r w:rsidRPr="00463430">
        <w:rPr>
          <w:rFonts w:cs="Arial"/>
          <w:sz w:val="22"/>
          <w:szCs w:val="22"/>
        </w:rPr>
        <w:t>67 % obyvatelstva je v produktivním věku (15 – 59 let), 18 % je ve věku do 15 let</w:t>
      </w:r>
    </w:p>
    <w:p w:rsidR="00A64035" w:rsidRPr="00463430" w:rsidRDefault="00A64035" w:rsidP="00557F1F">
      <w:pPr>
        <w:numPr>
          <w:ilvl w:val="0"/>
          <w:numId w:val="14"/>
        </w:numPr>
        <w:ind w:left="723"/>
        <w:rPr>
          <w:rFonts w:cs="Arial"/>
          <w:sz w:val="22"/>
          <w:szCs w:val="22"/>
        </w:rPr>
      </w:pPr>
      <w:r w:rsidRPr="00463430">
        <w:rPr>
          <w:rFonts w:cs="Arial"/>
          <w:sz w:val="22"/>
          <w:szCs w:val="22"/>
        </w:rPr>
        <w:t xml:space="preserve">současná věková struktura (2001) je typická zvýšeným podílem lidí v produktivním věku (oproti minulému Sčítání navýšení o 12 %) a sníženým podílem dětí do 15 let (snížení o 24 %) – průměrný věk se zvýšil </w:t>
      </w:r>
      <w:proofErr w:type="gramStart"/>
      <w:r w:rsidRPr="00463430">
        <w:rPr>
          <w:rFonts w:cs="Arial"/>
          <w:sz w:val="22"/>
          <w:szCs w:val="22"/>
        </w:rPr>
        <w:t>ze</w:t>
      </w:r>
      <w:proofErr w:type="gramEnd"/>
      <w:r w:rsidRPr="00463430">
        <w:rPr>
          <w:rFonts w:cs="Arial"/>
          <w:sz w:val="22"/>
          <w:szCs w:val="22"/>
        </w:rPr>
        <w:t xml:space="preserve"> 33,5 (1991) na 36 let (2001)</w:t>
      </w:r>
    </w:p>
    <w:p w:rsidR="00A64035" w:rsidRPr="00463430" w:rsidRDefault="00A64035" w:rsidP="00557F1F">
      <w:pPr>
        <w:numPr>
          <w:ilvl w:val="0"/>
          <w:numId w:val="14"/>
        </w:numPr>
        <w:ind w:left="723"/>
        <w:rPr>
          <w:rFonts w:cs="Arial"/>
          <w:sz w:val="22"/>
          <w:szCs w:val="22"/>
        </w:rPr>
      </w:pPr>
      <w:r w:rsidRPr="00463430">
        <w:rPr>
          <w:rFonts w:cs="Arial"/>
          <w:sz w:val="22"/>
          <w:szCs w:val="22"/>
        </w:rPr>
        <w:t>přes nepříznivý trend je nutno upozornit na to, že současná věková struktura regionu je s ohledem na sledované kategorie příznivější než v celém kraji či státu</w:t>
      </w:r>
    </w:p>
    <w:p w:rsidR="00A64035" w:rsidRPr="00463430" w:rsidRDefault="00A64035" w:rsidP="00557F1F">
      <w:pPr>
        <w:pStyle w:val="xl24"/>
        <w:numPr>
          <w:ilvl w:val="0"/>
          <w:numId w:val="14"/>
        </w:numPr>
        <w:spacing w:before="0" w:beforeAutospacing="0" w:after="0" w:afterAutospacing="0"/>
        <w:ind w:left="723"/>
        <w:rPr>
          <w:rFonts w:ascii="Arial" w:hAnsi="Arial" w:cs="Arial"/>
          <w:sz w:val="22"/>
          <w:szCs w:val="22"/>
        </w:rPr>
      </w:pPr>
      <w:r w:rsidRPr="00463430">
        <w:rPr>
          <w:rFonts w:ascii="Arial" w:hAnsi="Arial" w:cs="Arial"/>
          <w:sz w:val="22"/>
          <w:szCs w:val="22"/>
        </w:rPr>
        <w:t>vzdělanostní struktura okresu doznala v průběhu desetiletí značné změny – snížil se počet obyvatel, kteří mají učňovské vzdělání a vzdělání základní; ostatní vzdělanostní kategorie zaznamenaly nárůst a to především skupina obyvatel se středním odborným vzděláním</w:t>
      </w:r>
    </w:p>
    <w:p w:rsidR="00A64035" w:rsidRPr="00463430" w:rsidRDefault="00A64035" w:rsidP="00557F1F">
      <w:pPr>
        <w:pStyle w:val="xl24"/>
        <w:numPr>
          <w:ilvl w:val="0"/>
          <w:numId w:val="14"/>
        </w:numPr>
        <w:spacing w:before="0" w:beforeAutospacing="0" w:after="0" w:afterAutospacing="0"/>
        <w:ind w:left="723"/>
        <w:rPr>
          <w:rFonts w:ascii="Arial" w:hAnsi="Arial" w:cs="Arial"/>
          <w:sz w:val="22"/>
          <w:szCs w:val="22"/>
        </w:rPr>
      </w:pPr>
      <w:r w:rsidRPr="00463430">
        <w:rPr>
          <w:rFonts w:ascii="Arial" w:hAnsi="Arial" w:cs="Arial"/>
          <w:sz w:val="22"/>
          <w:szCs w:val="22"/>
        </w:rPr>
        <w:t>nejčetnější vzdělanostní skupinou obyvatel ve věku 15 – 59 let jsou lidé se středním odborným vzděláním; výrazné jsou i skupiny se základním a úplným středním vzděláním (vždy více jak ¼)</w:t>
      </w:r>
    </w:p>
    <w:p w:rsidR="00A64035" w:rsidRPr="00463430" w:rsidRDefault="00A64035" w:rsidP="00557F1F">
      <w:pPr>
        <w:pStyle w:val="xl24"/>
        <w:numPr>
          <w:ilvl w:val="0"/>
          <w:numId w:val="14"/>
        </w:numPr>
        <w:spacing w:before="0" w:beforeAutospacing="0" w:after="0" w:afterAutospacing="0"/>
        <w:ind w:left="723"/>
        <w:rPr>
          <w:rFonts w:ascii="Arial" w:hAnsi="Arial" w:cs="Arial"/>
          <w:sz w:val="22"/>
          <w:szCs w:val="22"/>
        </w:rPr>
      </w:pPr>
      <w:r w:rsidRPr="00463430">
        <w:rPr>
          <w:rFonts w:ascii="Arial" w:hAnsi="Arial" w:cs="Arial"/>
          <w:sz w:val="22"/>
          <w:szCs w:val="22"/>
        </w:rPr>
        <w:t>v průmyslové oblasti je všeobecně vyšší vzdělanostní potenciál než v ostatních částech regionu – pro zemědělskou a horskou oblast jsou typické vysoké podíly lidí se základním vzděláním</w:t>
      </w:r>
    </w:p>
    <w:p w:rsidR="00A64035" w:rsidRPr="00463430" w:rsidRDefault="00A64035" w:rsidP="00557F1F">
      <w:pPr>
        <w:numPr>
          <w:ilvl w:val="0"/>
          <w:numId w:val="14"/>
        </w:numPr>
        <w:ind w:left="723"/>
        <w:rPr>
          <w:rFonts w:cs="Arial"/>
          <w:sz w:val="22"/>
          <w:szCs w:val="22"/>
        </w:rPr>
      </w:pPr>
      <w:r w:rsidRPr="00463430">
        <w:rPr>
          <w:rFonts w:cs="Arial"/>
          <w:sz w:val="22"/>
          <w:szCs w:val="22"/>
        </w:rPr>
        <w:t>dominantním odvětvím ekonomické činnosti ekonomicky aktivního obyvatelstva je zpracovatelský průmysl a výroba elektřiny (20 %), zhruba 8 % obyvatelstva se zabývá stavebnictvím či obchodem</w:t>
      </w:r>
    </w:p>
    <w:p w:rsidR="00A64035" w:rsidRPr="00463430" w:rsidRDefault="00A64035" w:rsidP="00557F1F">
      <w:pPr>
        <w:numPr>
          <w:ilvl w:val="0"/>
          <w:numId w:val="14"/>
        </w:numPr>
        <w:ind w:left="723"/>
        <w:rPr>
          <w:rFonts w:cs="Arial"/>
          <w:sz w:val="22"/>
          <w:szCs w:val="22"/>
        </w:rPr>
      </w:pPr>
      <w:r w:rsidRPr="00463430">
        <w:rPr>
          <w:rFonts w:cs="Arial"/>
          <w:sz w:val="22"/>
          <w:szCs w:val="22"/>
        </w:rPr>
        <w:t xml:space="preserve">ženy mají dominantní postavení v obchodě, pohostinství a ubytování, v peněžnictví </w:t>
      </w:r>
      <w:r w:rsidR="0075074A">
        <w:rPr>
          <w:rFonts w:cs="Arial"/>
          <w:sz w:val="22"/>
          <w:szCs w:val="22"/>
        </w:rPr>
        <w:br/>
      </w:r>
      <w:r w:rsidRPr="00463430">
        <w:rPr>
          <w:rFonts w:cs="Arial"/>
          <w:sz w:val="22"/>
          <w:szCs w:val="22"/>
        </w:rPr>
        <w:t xml:space="preserve">a pojišťovnictví, školství, zdravotnictví a sociálních službách, muži zase v zemědělství, dobývání nerostných surovin, zpracovatelském průmyslu, výrobě a rozvodu elektřiny, stavebnictví a dopravě </w:t>
      </w:r>
    </w:p>
    <w:p w:rsidR="00A64035" w:rsidRPr="00463430" w:rsidRDefault="00A64035" w:rsidP="00A64035">
      <w:pPr>
        <w:pStyle w:val="Zkladntext"/>
        <w:jc w:val="both"/>
        <w:rPr>
          <w:rFonts w:cs="Arial"/>
          <w:b w:val="0"/>
          <w:color w:val="FF0000"/>
          <w:sz w:val="22"/>
          <w:szCs w:val="22"/>
        </w:rPr>
      </w:pPr>
    </w:p>
    <w:p w:rsidR="00A64035" w:rsidRPr="00463430" w:rsidRDefault="00A64035" w:rsidP="00A64035">
      <w:pPr>
        <w:pStyle w:val="Zkladntext"/>
        <w:jc w:val="both"/>
        <w:rPr>
          <w:rFonts w:cs="Arial"/>
          <w:b w:val="0"/>
          <w:bCs/>
          <w:color w:val="FF0000"/>
          <w:sz w:val="22"/>
          <w:szCs w:val="22"/>
        </w:rPr>
      </w:pPr>
    </w:p>
    <w:tbl>
      <w:tblPr>
        <w:tblW w:w="9075"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0"/>
        <w:gridCol w:w="1110"/>
        <w:gridCol w:w="1109"/>
        <w:gridCol w:w="890"/>
        <w:gridCol w:w="1417"/>
        <w:gridCol w:w="851"/>
        <w:gridCol w:w="1278"/>
      </w:tblGrid>
      <w:tr w:rsidR="00A64035" w:rsidRPr="00463430" w:rsidTr="0075074A">
        <w:trPr>
          <w:cantSplit/>
        </w:trPr>
        <w:tc>
          <w:tcPr>
            <w:tcW w:w="2420" w:type="dxa"/>
            <w:vMerge w:val="restart"/>
            <w:tcBorders>
              <w:top w:val="double" w:sz="4" w:space="0" w:color="auto"/>
              <w:left w:val="doub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Název okresu</w:t>
            </w:r>
          </w:p>
        </w:tc>
        <w:tc>
          <w:tcPr>
            <w:tcW w:w="1110" w:type="dxa"/>
            <w:vMerge w:val="restart"/>
            <w:tcBorders>
              <w:top w:val="doub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počet obyvatel</w:t>
            </w:r>
          </w:p>
        </w:tc>
        <w:tc>
          <w:tcPr>
            <w:tcW w:w="1109" w:type="dxa"/>
            <w:vMerge w:val="restart"/>
            <w:tcBorders>
              <w:top w:val="doub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EAO</w:t>
            </w:r>
          </w:p>
        </w:tc>
        <w:tc>
          <w:tcPr>
            <w:tcW w:w="2307" w:type="dxa"/>
            <w:gridSpan w:val="2"/>
            <w:tcBorders>
              <w:top w:val="double" w:sz="4" w:space="0" w:color="auto"/>
              <w:left w:val="single" w:sz="4" w:space="0" w:color="auto"/>
              <w:bottom w:val="sing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 xml:space="preserve">počet uchazečů </w:t>
            </w:r>
          </w:p>
        </w:tc>
        <w:tc>
          <w:tcPr>
            <w:tcW w:w="2129" w:type="dxa"/>
            <w:gridSpan w:val="2"/>
            <w:tcBorders>
              <w:top w:val="double" w:sz="4" w:space="0" w:color="auto"/>
              <w:left w:val="single" w:sz="4" w:space="0" w:color="auto"/>
              <w:bottom w:val="single" w:sz="4" w:space="0" w:color="auto"/>
              <w:right w:val="doub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 xml:space="preserve">MN v % </w:t>
            </w:r>
          </w:p>
        </w:tc>
      </w:tr>
      <w:tr w:rsidR="00A64035" w:rsidRPr="00463430" w:rsidTr="0075074A">
        <w:trPr>
          <w:cantSplit/>
        </w:trPr>
        <w:tc>
          <w:tcPr>
            <w:tcW w:w="2420" w:type="dxa"/>
            <w:vMerge/>
            <w:tcBorders>
              <w:top w:val="double" w:sz="4" w:space="0" w:color="auto"/>
              <w:left w:val="double" w:sz="4" w:space="0" w:color="auto"/>
              <w:bottom w:val="double" w:sz="4" w:space="0" w:color="auto"/>
              <w:right w:val="single" w:sz="4" w:space="0" w:color="auto"/>
            </w:tcBorders>
            <w:vAlign w:val="center"/>
            <w:hideMark/>
          </w:tcPr>
          <w:p w:rsidR="00A64035" w:rsidRPr="00463430" w:rsidRDefault="00A64035" w:rsidP="0075074A">
            <w:pPr>
              <w:rPr>
                <w:rFonts w:cs="Arial"/>
                <w:b/>
                <w:bCs/>
                <w:sz w:val="22"/>
                <w:szCs w:val="22"/>
              </w:rPr>
            </w:pPr>
          </w:p>
        </w:tc>
        <w:tc>
          <w:tcPr>
            <w:tcW w:w="1110" w:type="dxa"/>
            <w:vMerge/>
            <w:tcBorders>
              <w:top w:val="double" w:sz="4" w:space="0" w:color="auto"/>
              <w:left w:val="single" w:sz="4" w:space="0" w:color="auto"/>
              <w:bottom w:val="double" w:sz="4" w:space="0" w:color="auto"/>
              <w:right w:val="single" w:sz="4" w:space="0" w:color="auto"/>
            </w:tcBorders>
            <w:vAlign w:val="center"/>
            <w:hideMark/>
          </w:tcPr>
          <w:p w:rsidR="00A64035" w:rsidRPr="00463430" w:rsidRDefault="00A64035" w:rsidP="0075074A">
            <w:pPr>
              <w:rPr>
                <w:rFonts w:cs="Arial"/>
                <w:b/>
                <w:bCs/>
                <w:sz w:val="22"/>
                <w:szCs w:val="22"/>
              </w:rPr>
            </w:pPr>
          </w:p>
        </w:tc>
        <w:tc>
          <w:tcPr>
            <w:tcW w:w="1109" w:type="dxa"/>
            <w:vMerge/>
            <w:tcBorders>
              <w:top w:val="double" w:sz="4" w:space="0" w:color="auto"/>
              <w:left w:val="single" w:sz="4" w:space="0" w:color="auto"/>
              <w:bottom w:val="double" w:sz="4" w:space="0" w:color="auto"/>
              <w:right w:val="single" w:sz="4" w:space="0" w:color="auto"/>
            </w:tcBorders>
            <w:vAlign w:val="center"/>
            <w:hideMark/>
          </w:tcPr>
          <w:p w:rsidR="00A64035" w:rsidRPr="00463430" w:rsidRDefault="00A64035" w:rsidP="0075074A">
            <w:pPr>
              <w:rPr>
                <w:rFonts w:cs="Arial"/>
                <w:b/>
                <w:bCs/>
                <w:sz w:val="22"/>
                <w:szCs w:val="22"/>
              </w:rPr>
            </w:pPr>
          </w:p>
        </w:tc>
        <w:tc>
          <w:tcPr>
            <w:tcW w:w="890" w:type="dxa"/>
            <w:tcBorders>
              <w:top w:val="sing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celkem</w:t>
            </w:r>
          </w:p>
        </w:tc>
        <w:tc>
          <w:tcPr>
            <w:tcW w:w="1417" w:type="dxa"/>
            <w:tcBorders>
              <w:top w:val="sing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dosažitelní</w:t>
            </w:r>
          </w:p>
        </w:tc>
        <w:tc>
          <w:tcPr>
            <w:tcW w:w="851" w:type="dxa"/>
            <w:tcBorders>
              <w:top w:val="sing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 xml:space="preserve">z </w:t>
            </w:r>
            <w:proofErr w:type="spellStart"/>
            <w:r w:rsidRPr="00463430">
              <w:rPr>
                <w:rFonts w:cs="Arial"/>
                <w:sz w:val="22"/>
                <w:szCs w:val="22"/>
              </w:rPr>
              <w:t>celk</w:t>
            </w:r>
            <w:proofErr w:type="spellEnd"/>
            <w:r w:rsidRPr="00463430">
              <w:rPr>
                <w:rFonts w:cs="Arial"/>
                <w:sz w:val="22"/>
                <w:szCs w:val="22"/>
              </w:rPr>
              <w:t>. počtu uch.</w:t>
            </w:r>
          </w:p>
        </w:tc>
        <w:tc>
          <w:tcPr>
            <w:tcW w:w="1278" w:type="dxa"/>
            <w:tcBorders>
              <w:top w:val="single" w:sz="4" w:space="0" w:color="auto"/>
              <w:left w:val="single" w:sz="4" w:space="0" w:color="auto"/>
              <w:bottom w:val="double" w:sz="4" w:space="0" w:color="auto"/>
              <w:right w:val="doub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 xml:space="preserve">z </w:t>
            </w:r>
            <w:proofErr w:type="spellStart"/>
            <w:r w:rsidRPr="00463430">
              <w:rPr>
                <w:rFonts w:cs="Arial"/>
                <w:sz w:val="22"/>
                <w:szCs w:val="22"/>
              </w:rPr>
              <w:t>dosaž</w:t>
            </w:r>
            <w:proofErr w:type="spellEnd"/>
            <w:r w:rsidRPr="00463430">
              <w:rPr>
                <w:rFonts w:cs="Arial"/>
                <w:sz w:val="22"/>
                <w:szCs w:val="22"/>
              </w:rPr>
              <w:t>. uchazečů</w:t>
            </w:r>
          </w:p>
        </w:tc>
      </w:tr>
      <w:tr w:rsidR="00A64035" w:rsidRPr="00463430" w:rsidTr="0075074A">
        <w:trPr>
          <w:cantSplit/>
          <w:trHeight w:hRule="exact" w:val="284"/>
        </w:trPr>
        <w:tc>
          <w:tcPr>
            <w:tcW w:w="2420" w:type="dxa"/>
            <w:tcBorders>
              <w:top w:val="single" w:sz="4" w:space="0" w:color="auto"/>
              <w:left w:val="double" w:sz="4" w:space="0" w:color="auto"/>
              <w:bottom w:val="double" w:sz="4" w:space="0" w:color="auto"/>
              <w:right w:val="single" w:sz="4" w:space="0" w:color="auto"/>
            </w:tcBorders>
            <w:hideMark/>
          </w:tcPr>
          <w:p w:rsidR="00A64035" w:rsidRPr="00463430" w:rsidRDefault="00A64035" w:rsidP="0075074A">
            <w:pPr>
              <w:pStyle w:val="Zkladntext"/>
              <w:jc w:val="both"/>
              <w:rPr>
                <w:rFonts w:cs="Arial"/>
                <w:b w:val="0"/>
                <w:i/>
                <w:sz w:val="22"/>
                <w:szCs w:val="22"/>
              </w:rPr>
            </w:pPr>
            <w:r w:rsidRPr="00463430">
              <w:rPr>
                <w:rFonts w:cs="Arial"/>
                <w:b w:val="0"/>
                <w:i/>
                <w:sz w:val="22"/>
                <w:szCs w:val="22"/>
              </w:rPr>
              <w:t>Chomutov</w:t>
            </w:r>
          </w:p>
        </w:tc>
        <w:tc>
          <w:tcPr>
            <w:tcW w:w="1110" w:type="dxa"/>
            <w:tcBorders>
              <w:top w:val="single" w:sz="4" w:space="0" w:color="auto"/>
              <w:left w:val="single" w:sz="4" w:space="0" w:color="auto"/>
              <w:bottom w:val="double" w:sz="4" w:space="0" w:color="auto"/>
              <w:right w:val="sing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124 979</w:t>
            </w:r>
          </w:p>
        </w:tc>
        <w:tc>
          <w:tcPr>
            <w:tcW w:w="1109" w:type="dxa"/>
            <w:tcBorders>
              <w:top w:val="single" w:sz="4" w:space="0" w:color="auto"/>
              <w:left w:val="single" w:sz="4" w:space="0" w:color="auto"/>
              <w:bottom w:val="double" w:sz="4" w:space="0" w:color="auto"/>
              <w:right w:val="sing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65 524</w:t>
            </w:r>
          </w:p>
        </w:tc>
        <w:tc>
          <w:tcPr>
            <w:tcW w:w="890" w:type="dxa"/>
            <w:tcBorders>
              <w:top w:val="single" w:sz="4" w:space="0" w:color="auto"/>
              <w:left w:val="single" w:sz="4" w:space="0" w:color="auto"/>
              <w:bottom w:val="double" w:sz="4" w:space="0" w:color="auto"/>
              <w:right w:val="sing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9 029</w:t>
            </w:r>
          </w:p>
        </w:tc>
        <w:tc>
          <w:tcPr>
            <w:tcW w:w="1417" w:type="dxa"/>
            <w:tcBorders>
              <w:top w:val="single" w:sz="4" w:space="0" w:color="auto"/>
              <w:left w:val="single" w:sz="4" w:space="0" w:color="auto"/>
              <w:bottom w:val="double" w:sz="4" w:space="0" w:color="auto"/>
              <w:right w:val="sing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8 919</w:t>
            </w:r>
          </w:p>
        </w:tc>
        <w:tc>
          <w:tcPr>
            <w:tcW w:w="851" w:type="dxa"/>
            <w:tcBorders>
              <w:top w:val="single" w:sz="4" w:space="0" w:color="auto"/>
              <w:left w:val="single" w:sz="4" w:space="0" w:color="auto"/>
              <w:bottom w:val="double" w:sz="4" w:space="0" w:color="auto"/>
              <w:right w:val="single" w:sz="4" w:space="0" w:color="auto"/>
            </w:tcBorders>
          </w:tcPr>
          <w:p w:rsidR="00A64035" w:rsidRPr="00463430" w:rsidRDefault="00A64035" w:rsidP="0075074A">
            <w:pPr>
              <w:pStyle w:val="Zkladntext"/>
              <w:jc w:val="center"/>
              <w:rPr>
                <w:rFonts w:cs="Arial"/>
                <w:b w:val="0"/>
                <w:i/>
                <w:sz w:val="22"/>
                <w:szCs w:val="22"/>
              </w:rPr>
            </w:pPr>
            <w:r w:rsidRPr="00463430">
              <w:rPr>
                <w:rFonts w:cs="Arial"/>
                <w:b w:val="0"/>
                <w:i/>
                <w:sz w:val="22"/>
                <w:szCs w:val="22"/>
              </w:rPr>
              <w:t>13,78</w:t>
            </w:r>
          </w:p>
          <w:p w:rsidR="00A64035" w:rsidRPr="00463430" w:rsidRDefault="00A64035" w:rsidP="0075074A">
            <w:pPr>
              <w:pStyle w:val="Zkladntext"/>
              <w:jc w:val="center"/>
              <w:rPr>
                <w:rFonts w:cs="Arial"/>
                <w:b w:val="0"/>
                <w:i/>
                <w:sz w:val="22"/>
                <w:szCs w:val="22"/>
              </w:rPr>
            </w:pPr>
          </w:p>
        </w:tc>
        <w:tc>
          <w:tcPr>
            <w:tcW w:w="1278" w:type="dxa"/>
            <w:tcBorders>
              <w:top w:val="single" w:sz="4" w:space="0" w:color="auto"/>
              <w:left w:val="single" w:sz="4" w:space="0" w:color="auto"/>
              <w:bottom w:val="double" w:sz="4" w:space="0" w:color="auto"/>
              <w:right w:val="doub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13,61</w:t>
            </w:r>
          </w:p>
        </w:tc>
      </w:tr>
    </w:tbl>
    <w:p w:rsidR="00A64035" w:rsidRPr="00463430" w:rsidRDefault="00A64035" w:rsidP="00A64035">
      <w:pPr>
        <w:pStyle w:val="Zkladntext"/>
        <w:jc w:val="both"/>
        <w:rPr>
          <w:rFonts w:cs="Arial"/>
          <w:sz w:val="22"/>
          <w:szCs w:val="22"/>
        </w:rPr>
      </w:pPr>
    </w:p>
    <w:p w:rsidR="00A64035" w:rsidRDefault="00A64035" w:rsidP="00A64035">
      <w:pPr>
        <w:pStyle w:val="Zkladntext"/>
        <w:jc w:val="both"/>
        <w:rPr>
          <w:rFonts w:cs="Arial"/>
          <w:bCs/>
          <w:sz w:val="22"/>
          <w:szCs w:val="22"/>
        </w:rPr>
      </w:pPr>
    </w:p>
    <w:p w:rsidR="00A64035" w:rsidRDefault="00A64035" w:rsidP="00A64035">
      <w:pPr>
        <w:pStyle w:val="Zkladntext"/>
        <w:jc w:val="both"/>
        <w:rPr>
          <w:rFonts w:cs="Arial"/>
          <w:bCs/>
          <w:sz w:val="22"/>
          <w:szCs w:val="22"/>
        </w:rPr>
      </w:pPr>
    </w:p>
    <w:p w:rsidR="00A64035" w:rsidRDefault="00A64035" w:rsidP="00A64035">
      <w:pPr>
        <w:pStyle w:val="Zkladntext"/>
        <w:jc w:val="both"/>
        <w:rPr>
          <w:rFonts w:cs="Arial"/>
          <w:bCs/>
          <w:sz w:val="22"/>
          <w:szCs w:val="22"/>
        </w:rPr>
      </w:pPr>
    </w:p>
    <w:p w:rsidR="00A64035" w:rsidRPr="00463430" w:rsidRDefault="00A64035" w:rsidP="00A64035">
      <w:pPr>
        <w:pStyle w:val="Zkladntext"/>
        <w:jc w:val="both"/>
        <w:rPr>
          <w:rFonts w:cs="Arial"/>
          <w:bCs/>
          <w:sz w:val="22"/>
          <w:szCs w:val="22"/>
        </w:rPr>
      </w:pPr>
      <w:r w:rsidRPr="00463430">
        <w:rPr>
          <w:rFonts w:cs="Arial"/>
          <w:bCs/>
          <w:sz w:val="22"/>
          <w:szCs w:val="22"/>
        </w:rPr>
        <w:lastRenderedPageBreak/>
        <w:t>Mikroregiony:</w:t>
      </w:r>
    </w:p>
    <w:p w:rsidR="00A64035" w:rsidRDefault="00A64035" w:rsidP="00A64035">
      <w:pPr>
        <w:pStyle w:val="Nadpis2"/>
        <w:ind w:left="576"/>
        <w:rPr>
          <w:b/>
          <w:szCs w:val="22"/>
        </w:rPr>
      </w:pPr>
      <w:r w:rsidRPr="00463430">
        <w:rPr>
          <w:b/>
          <w:szCs w:val="22"/>
        </w:rPr>
        <w:t>Chomutov</w:t>
      </w:r>
    </w:p>
    <w:p w:rsidR="00A64035" w:rsidRPr="00B8485C" w:rsidRDefault="00A64035" w:rsidP="00A64035"/>
    <w:p w:rsidR="00A64035" w:rsidRPr="00463430" w:rsidRDefault="00A64035" w:rsidP="00557F1F">
      <w:pPr>
        <w:pStyle w:val="Zkladntext"/>
        <w:numPr>
          <w:ilvl w:val="0"/>
          <w:numId w:val="15"/>
        </w:numPr>
        <w:tabs>
          <w:tab w:val="clear" w:pos="0"/>
          <w:tab w:val="clear" w:pos="7371"/>
        </w:tabs>
        <w:rPr>
          <w:rFonts w:cs="Arial"/>
          <w:b w:val="0"/>
          <w:snapToGrid w:val="0"/>
          <w:sz w:val="22"/>
          <w:szCs w:val="22"/>
        </w:rPr>
      </w:pPr>
      <w:r w:rsidRPr="00463430">
        <w:rPr>
          <w:rFonts w:cs="Arial"/>
          <w:b w:val="0"/>
          <w:sz w:val="22"/>
          <w:szCs w:val="22"/>
        </w:rPr>
        <w:t xml:space="preserve">z  </w:t>
      </w:r>
      <w:r w:rsidRPr="00463430">
        <w:rPr>
          <w:rFonts w:cs="Arial"/>
          <w:b w:val="0"/>
          <w:snapToGrid w:val="0"/>
          <w:sz w:val="22"/>
          <w:szCs w:val="22"/>
        </w:rPr>
        <w:t>celkového počtu obyvatel</w:t>
      </w:r>
      <w:r w:rsidRPr="00463430">
        <w:rPr>
          <w:rFonts w:cs="Arial"/>
          <w:b w:val="0"/>
          <w:sz w:val="22"/>
          <w:szCs w:val="22"/>
        </w:rPr>
        <w:t xml:space="preserve"> 57 686 je 30 141 ekonomicky aktivních a z nich je 4 066 nezaměstnaných (k </w:t>
      </w:r>
      <w:proofErr w:type="gramStart"/>
      <w:r w:rsidRPr="00463430">
        <w:rPr>
          <w:rFonts w:cs="Arial"/>
          <w:b w:val="0"/>
          <w:sz w:val="22"/>
          <w:szCs w:val="22"/>
        </w:rPr>
        <w:t>31.12.2010</w:t>
      </w:r>
      <w:proofErr w:type="gramEnd"/>
      <w:r w:rsidRPr="00463430">
        <w:rPr>
          <w:rFonts w:cs="Arial"/>
          <w:b w:val="0"/>
          <w:sz w:val="22"/>
          <w:szCs w:val="22"/>
        </w:rPr>
        <w:t xml:space="preserve"> – 4 304), tj. pokles o 5,5 % uchazečů o zaměstnání</w:t>
      </w:r>
    </w:p>
    <w:p w:rsidR="00A64035" w:rsidRPr="00463430" w:rsidRDefault="00A64035" w:rsidP="00557F1F">
      <w:pPr>
        <w:pStyle w:val="Zkladntext"/>
        <w:numPr>
          <w:ilvl w:val="0"/>
          <w:numId w:val="15"/>
        </w:numPr>
        <w:tabs>
          <w:tab w:val="clear" w:pos="0"/>
          <w:tab w:val="clear" w:pos="7371"/>
        </w:tabs>
        <w:rPr>
          <w:rFonts w:cs="Arial"/>
          <w:b w:val="0"/>
          <w:snapToGrid w:val="0"/>
          <w:sz w:val="22"/>
          <w:szCs w:val="22"/>
        </w:rPr>
      </w:pPr>
      <w:r w:rsidRPr="00463430">
        <w:rPr>
          <w:rFonts w:cs="Arial"/>
          <w:b w:val="0"/>
          <w:sz w:val="22"/>
          <w:szCs w:val="22"/>
        </w:rPr>
        <w:t xml:space="preserve">k </w:t>
      </w:r>
      <w:proofErr w:type="gramStart"/>
      <w:r w:rsidRPr="00463430">
        <w:rPr>
          <w:rFonts w:cs="Arial"/>
          <w:b w:val="0"/>
          <w:sz w:val="22"/>
          <w:szCs w:val="22"/>
        </w:rPr>
        <w:t>31.12.2011</w:t>
      </w:r>
      <w:proofErr w:type="gramEnd"/>
      <w:r w:rsidRPr="00463430">
        <w:rPr>
          <w:rFonts w:cs="Arial"/>
          <w:b w:val="0"/>
          <w:sz w:val="22"/>
          <w:szCs w:val="22"/>
        </w:rPr>
        <w:t xml:space="preserve"> dosáhla míra nezaměstnanosti 13,4 %, což oproti stejnému období minulého roku představuje snížení o 0,7 procentního bodu</w:t>
      </w:r>
    </w:p>
    <w:p w:rsidR="00A64035" w:rsidRPr="00463430" w:rsidRDefault="00A64035" w:rsidP="00557F1F">
      <w:pPr>
        <w:pStyle w:val="Zkladntext"/>
        <w:numPr>
          <w:ilvl w:val="0"/>
          <w:numId w:val="15"/>
        </w:numPr>
        <w:tabs>
          <w:tab w:val="clear" w:pos="0"/>
          <w:tab w:val="clear" w:pos="7371"/>
        </w:tabs>
        <w:rPr>
          <w:rFonts w:cs="Arial"/>
          <w:b w:val="0"/>
          <w:sz w:val="22"/>
          <w:szCs w:val="22"/>
        </w:rPr>
      </w:pPr>
      <w:r w:rsidRPr="00463430">
        <w:rPr>
          <w:rFonts w:cs="Arial"/>
          <w:b w:val="0"/>
          <w:sz w:val="22"/>
          <w:szCs w:val="22"/>
        </w:rPr>
        <w:t>k </w:t>
      </w:r>
      <w:proofErr w:type="gramStart"/>
      <w:r w:rsidRPr="00463430">
        <w:rPr>
          <w:rFonts w:cs="Arial"/>
          <w:b w:val="0"/>
          <w:sz w:val="22"/>
          <w:szCs w:val="22"/>
        </w:rPr>
        <w:t>31.12.2011</w:t>
      </w:r>
      <w:proofErr w:type="gramEnd"/>
      <w:r w:rsidRPr="00463430">
        <w:rPr>
          <w:rFonts w:cs="Arial"/>
          <w:b w:val="0"/>
          <w:sz w:val="22"/>
          <w:szCs w:val="22"/>
        </w:rPr>
        <w:t xml:space="preserve"> bylo hlášeno 201 volných pracovních míst (oproti 249 volným pracovním místům k 31.12.2010)</w:t>
      </w:r>
    </w:p>
    <w:p w:rsidR="00A64035" w:rsidRPr="00463430" w:rsidRDefault="00A64035" w:rsidP="00557F1F">
      <w:pPr>
        <w:pStyle w:val="Zkladntext"/>
        <w:numPr>
          <w:ilvl w:val="0"/>
          <w:numId w:val="15"/>
        </w:numPr>
        <w:tabs>
          <w:tab w:val="clear" w:pos="0"/>
          <w:tab w:val="clear" w:pos="7371"/>
        </w:tabs>
        <w:rPr>
          <w:rFonts w:cs="Arial"/>
          <w:b w:val="0"/>
          <w:sz w:val="22"/>
          <w:szCs w:val="22"/>
        </w:rPr>
      </w:pPr>
      <w:r w:rsidRPr="00463430">
        <w:rPr>
          <w:rFonts w:cs="Arial"/>
          <w:b w:val="0"/>
          <w:sz w:val="22"/>
          <w:szCs w:val="22"/>
        </w:rPr>
        <w:t>transformací průmyslu nejvíce poklesla zaměstnanost v hutnickém průmyslu a dále v těžbě uhlí, nová profesní struktura se realizovala v zpracovatelském průmyslu zejména u přicházejících zahraničních investorů</w:t>
      </w:r>
    </w:p>
    <w:p w:rsidR="00A64035" w:rsidRPr="00463430" w:rsidRDefault="00A64035" w:rsidP="00557F1F">
      <w:pPr>
        <w:pStyle w:val="Zkladntext"/>
        <w:numPr>
          <w:ilvl w:val="0"/>
          <w:numId w:val="15"/>
        </w:numPr>
        <w:tabs>
          <w:tab w:val="clear" w:pos="0"/>
          <w:tab w:val="clear" w:pos="7371"/>
        </w:tabs>
        <w:rPr>
          <w:rFonts w:cs="Arial"/>
          <w:b w:val="0"/>
          <w:sz w:val="22"/>
          <w:szCs w:val="22"/>
        </w:rPr>
      </w:pPr>
      <w:r w:rsidRPr="00463430">
        <w:rPr>
          <w:rFonts w:cs="Arial"/>
          <w:b w:val="0"/>
          <w:sz w:val="22"/>
          <w:szCs w:val="22"/>
        </w:rPr>
        <w:t xml:space="preserve">v průmyslových zónách Severní pole a Nové Spořice, bylo v nových profesích vytvořeno </w:t>
      </w:r>
      <w:r w:rsidRPr="00463430">
        <w:rPr>
          <w:rFonts w:cs="Arial"/>
          <w:b w:val="0"/>
          <w:color w:val="000000"/>
          <w:sz w:val="22"/>
          <w:szCs w:val="22"/>
        </w:rPr>
        <w:t xml:space="preserve">1886 </w:t>
      </w:r>
      <w:r w:rsidRPr="00463430">
        <w:rPr>
          <w:rFonts w:cs="Arial"/>
          <w:b w:val="0"/>
          <w:sz w:val="22"/>
          <w:szCs w:val="22"/>
        </w:rPr>
        <w:t>pracovních míst u 9 zaměstnavatelů, dále nová pracovní místa vznikala v původních provozech, které prošly modernizací či revitalizací</w:t>
      </w:r>
    </w:p>
    <w:p w:rsidR="00A64035" w:rsidRPr="00463430" w:rsidRDefault="00A64035" w:rsidP="00557F1F">
      <w:pPr>
        <w:pStyle w:val="Zkladntext"/>
        <w:numPr>
          <w:ilvl w:val="0"/>
          <w:numId w:val="16"/>
        </w:numPr>
        <w:tabs>
          <w:tab w:val="clear" w:pos="0"/>
          <w:tab w:val="clear" w:pos="7371"/>
        </w:tabs>
        <w:ind w:left="1097"/>
        <w:rPr>
          <w:rFonts w:cs="Arial"/>
          <w:b w:val="0"/>
          <w:snapToGrid w:val="0"/>
          <w:sz w:val="22"/>
          <w:szCs w:val="22"/>
        </w:rPr>
      </w:pPr>
      <w:r w:rsidRPr="00463430">
        <w:rPr>
          <w:rFonts w:cs="Arial"/>
          <w:b w:val="0"/>
          <w:sz w:val="22"/>
          <w:szCs w:val="22"/>
        </w:rPr>
        <w:t xml:space="preserve">významným investorem je společnost Magna </w:t>
      </w:r>
      <w:proofErr w:type="spellStart"/>
      <w:r w:rsidRPr="00463430">
        <w:rPr>
          <w:rFonts w:cs="Arial"/>
          <w:b w:val="0"/>
          <w:sz w:val="22"/>
          <w:szCs w:val="22"/>
        </w:rPr>
        <w:t>Seating</w:t>
      </w:r>
      <w:proofErr w:type="spellEnd"/>
      <w:r w:rsidRPr="00463430">
        <w:rPr>
          <w:rFonts w:cs="Arial"/>
          <w:b w:val="0"/>
          <w:sz w:val="22"/>
          <w:szCs w:val="22"/>
        </w:rPr>
        <w:t xml:space="preserve"> Chomutov s.r.o. a Magna </w:t>
      </w:r>
      <w:proofErr w:type="spellStart"/>
      <w:r w:rsidRPr="00463430">
        <w:rPr>
          <w:rFonts w:cs="Arial"/>
          <w:b w:val="0"/>
          <w:sz w:val="22"/>
          <w:szCs w:val="22"/>
        </w:rPr>
        <w:t>Automotive</w:t>
      </w:r>
      <w:proofErr w:type="spellEnd"/>
      <w:r w:rsidRPr="00463430">
        <w:rPr>
          <w:rFonts w:cs="Arial"/>
          <w:b w:val="0"/>
          <w:sz w:val="22"/>
          <w:szCs w:val="22"/>
        </w:rPr>
        <w:t xml:space="preserve"> (CZ) s.r.o., které dohromady zaměstnávají 880 zaměstnanců </w:t>
      </w:r>
      <w:r>
        <w:rPr>
          <w:rFonts w:cs="Arial"/>
          <w:b w:val="0"/>
          <w:sz w:val="22"/>
          <w:szCs w:val="22"/>
        </w:rPr>
        <w:br/>
      </w:r>
      <w:r w:rsidRPr="00463430">
        <w:rPr>
          <w:rFonts w:cs="Arial"/>
          <w:b w:val="0"/>
          <w:sz w:val="22"/>
          <w:szCs w:val="22"/>
        </w:rPr>
        <w:t xml:space="preserve">(k </w:t>
      </w:r>
      <w:proofErr w:type="gramStart"/>
      <w:r w:rsidRPr="00463430">
        <w:rPr>
          <w:rFonts w:cs="Arial"/>
          <w:b w:val="0"/>
          <w:sz w:val="22"/>
          <w:szCs w:val="22"/>
        </w:rPr>
        <w:t>31.12.2011</w:t>
      </w:r>
      <w:proofErr w:type="gramEnd"/>
      <w:r w:rsidRPr="00463430">
        <w:rPr>
          <w:rFonts w:cs="Arial"/>
          <w:b w:val="0"/>
          <w:sz w:val="22"/>
          <w:szCs w:val="22"/>
        </w:rPr>
        <w:t>)</w:t>
      </w:r>
    </w:p>
    <w:p w:rsidR="00A64035" w:rsidRPr="00463430" w:rsidRDefault="00A64035" w:rsidP="00557F1F">
      <w:pPr>
        <w:pStyle w:val="Zkladntext"/>
        <w:numPr>
          <w:ilvl w:val="0"/>
          <w:numId w:val="16"/>
        </w:numPr>
        <w:tabs>
          <w:tab w:val="clear" w:pos="0"/>
          <w:tab w:val="clear" w:pos="7371"/>
        </w:tabs>
        <w:autoSpaceDE w:val="0"/>
        <w:autoSpaceDN w:val="0"/>
        <w:adjustRightInd w:val="0"/>
        <w:ind w:left="1097"/>
        <w:rPr>
          <w:rFonts w:cs="Arial"/>
          <w:b w:val="0"/>
          <w:snapToGrid w:val="0"/>
          <w:sz w:val="22"/>
          <w:szCs w:val="22"/>
        </w:rPr>
      </w:pPr>
      <w:r w:rsidRPr="00463430">
        <w:rPr>
          <w:rFonts w:cs="Arial"/>
          <w:b w:val="0"/>
          <w:snapToGrid w:val="0"/>
          <w:sz w:val="22"/>
          <w:szCs w:val="22"/>
        </w:rPr>
        <w:t>na průmyslové zóně Nové Spořice provozuje svoji výrobní činnost v nově postaveném</w:t>
      </w:r>
      <w:r w:rsidRPr="00463430">
        <w:rPr>
          <w:rFonts w:cs="Arial"/>
          <w:snapToGrid w:val="0"/>
          <w:sz w:val="22"/>
          <w:szCs w:val="22"/>
        </w:rPr>
        <w:t xml:space="preserve"> </w:t>
      </w:r>
      <w:r w:rsidRPr="00463430">
        <w:rPr>
          <w:rFonts w:cs="Arial"/>
          <w:b w:val="0"/>
          <w:snapToGrid w:val="0"/>
          <w:sz w:val="22"/>
          <w:szCs w:val="22"/>
        </w:rPr>
        <w:t xml:space="preserve">provoze firma </w:t>
      </w:r>
      <w:proofErr w:type="spellStart"/>
      <w:r w:rsidRPr="00463430">
        <w:rPr>
          <w:rFonts w:cs="Arial"/>
          <w:b w:val="0"/>
          <w:snapToGrid w:val="0"/>
          <w:sz w:val="22"/>
          <w:szCs w:val="22"/>
        </w:rPr>
        <w:t>Eaton</w:t>
      </w:r>
      <w:proofErr w:type="spellEnd"/>
      <w:r w:rsidRPr="00463430">
        <w:rPr>
          <w:rFonts w:cs="Arial"/>
          <w:b w:val="0"/>
          <w:snapToGrid w:val="0"/>
          <w:sz w:val="22"/>
          <w:szCs w:val="22"/>
        </w:rPr>
        <w:t xml:space="preserve"> </w:t>
      </w:r>
      <w:proofErr w:type="spellStart"/>
      <w:r w:rsidRPr="00463430">
        <w:rPr>
          <w:rFonts w:cs="Arial"/>
          <w:b w:val="0"/>
          <w:snapToGrid w:val="0"/>
          <w:sz w:val="22"/>
          <w:szCs w:val="22"/>
        </w:rPr>
        <w:t>Industries</w:t>
      </w:r>
      <w:proofErr w:type="spellEnd"/>
      <w:r w:rsidRPr="00463430">
        <w:rPr>
          <w:rFonts w:cs="Arial"/>
          <w:b w:val="0"/>
          <w:snapToGrid w:val="0"/>
          <w:sz w:val="22"/>
          <w:szCs w:val="22"/>
        </w:rPr>
        <w:t xml:space="preserve"> s.r.o. (569</w:t>
      </w:r>
      <w:r w:rsidRPr="00463430">
        <w:rPr>
          <w:rFonts w:cs="Arial"/>
          <w:b w:val="0"/>
          <w:snapToGrid w:val="0"/>
          <w:color w:val="FF0000"/>
          <w:sz w:val="22"/>
          <w:szCs w:val="22"/>
        </w:rPr>
        <w:t xml:space="preserve"> </w:t>
      </w:r>
      <w:r w:rsidRPr="00463430">
        <w:rPr>
          <w:rFonts w:cs="Arial"/>
          <w:b w:val="0"/>
          <w:snapToGrid w:val="0"/>
          <w:sz w:val="22"/>
          <w:szCs w:val="22"/>
        </w:rPr>
        <w:t>zaměstnanců k </w:t>
      </w:r>
      <w:proofErr w:type="gramStart"/>
      <w:r w:rsidRPr="00463430">
        <w:rPr>
          <w:rFonts w:cs="Arial"/>
          <w:b w:val="0"/>
          <w:snapToGrid w:val="0"/>
          <w:sz w:val="22"/>
          <w:szCs w:val="22"/>
        </w:rPr>
        <w:t>30.</w:t>
      </w:r>
      <w:r w:rsidR="0075074A">
        <w:rPr>
          <w:rFonts w:cs="Arial"/>
          <w:b w:val="0"/>
          <w:snapToGrid w:val="0"/>
          <w:sz w:val="22"/>
          <w:szCs w:val="22"/>
        </w:rPr>
        <w:t>0</w:t>
      </w:r>
      <w:r w:rsidRPr="00463430">
        <w:rPr>
          <w:rFonts w:cs="Arial"/>
          <w:b w:val="0"/>
          <w:snapToGrid w:val="0"/>
          <w:sz w:val="22"/>
          <w:szCs w:val="22"/>
        </w:rPr>
        <w:t>6.2011</w:t>
      </w:r>
      <w:proofErr w:type="gramEnd"/>
      <w:r w:rsidRPr="00463430">
        <w:rPr>
          <w:rFonts w:cs="Arial"/>
          <w:b w:val="0"/>
          <w:snapToGrid w:val="0"/>
          <w:sz w:val="22"/>
          <w:szCs w:val="22"/>
        </w:rPr>
        <w:t>), kter</w:t>
      </w:r>
      <w:r w:rsidRPr="00463430">
        <w:rPr>
          <w:rFonts w:cs="Arial"/>
          <w:snapToGrid w:val="0"/>
          <w:sz w:val="22"/>
          <w:szCs w:val="22"/>
        </w:rPr>
        <w:t>á získala investiční pobídku na vytvoření nových pracovních míst</w:t>
      </w:r>
    </w:p>
    <w:p w:rsidR="00A64035" w:rsidRPr="00696747" w:rsidRDefault="00A64035" w:rsidP="00557F1F">
      <w:pPr>
        <w:pStyle w:val="Zkladntext"/>
        <w:numPr>
          <w:ilvl w:val="0"/>
          <w:numId w:val="16"/>
        </w:numPr>
        <w:tabs>
          <w:tab w:val="clear" w:pos="0"/>
          <w:tab w:val="clear" w:pos="7371"/>
        </w:tabs>
        <w:autoSpaceDE w:val="0"/>
        <w:autoSpaceDN w:val="0"/>
        <w:adjustRightInd w:val="0"/>
        <w:ind w:left="1097"/>
        <w:rPr>
          <w:rFonts w:cs="Arial"/>
          <w:b w:val="0"/>
          <w:snapToGrid w:val="0"/>
          <w:sz w:val="22"/>
          <w:szCs w:val="22"/>
        </w:rPr>
      </w:pPr>
      <w:r w:rsidRPr="00463430">
        <w:rPr>
          <w:rFonts w:cs="Arial"/>
          <w:b w:val="0"/>
          <w:snapToGrid w:val="0"/>
          <w:sz w:val="22"/>
          <w:szCs w:val="22"/>
        </w:rPr>
        <w:t>mezi významné zaměstnavatele a investory na průmyslové zóně s počtem nad 300 zaměstnanců patří PULS investiční s.r.o. (313 zaměstnanců k </w:t>
      </w:r>
      <w:proofErr w:type="gramStart"/>
      <w:r w:rsidRPr="00463430">
        <w:rPr>
          <w:rFonts w:cs="Arial"/>
          <w:b w:val="0"/>
          <w:snapToGrid w:val="0"/>
          <w:sz w:val="22"/>
          <w:szCs w:val="22"/>
        </w:rPr>
        <w:t>31.</w:t>
      </w:r>
      <w:r w:rsidR="0075074A">
        <w:rPr>
          <w:rFonts w:cs="Arial"/>
          <w:b w:val="0"/>
          <w:snapToGrid w:val="0"/>
          <w:sz w:val="22"/>
          <w:szCs w:val="22"/>
        </w:rPr>
        <w:t>0</w:t>
      </w:r>
      <w:r w:rsidRPr="00463430">
        <w:rPr>
          <w:rFonts w:cs="Arial"/>
          <w:b w:val="0"/>
          <w:snapToGrid w:val="0"/>
          <w:sz w:val="22"/>
          <w:szCs w:val="22"/>
        </w:rPr>
        <w:t>3.2011</w:t>
      </w:r>
      <w:proofErr w:type="gramEnd"/>
      <w:r w:rsidRPr="00463430">
        <w:rPr>
          <w:rFonts w:cs="Arial"/>
          <w:b w:val="0"/>
          <w:snapToGrid w:val="0"/>
          <w:sz w:val="22"/>
          <w:szCs w:val="22"/>
        </w:rPr>
        <w:t>)</w:t>
      </w:r>
    </w:p>
    <w:p w:rsidR="00A64035" w:rsidRPr="00696747" w:rsidRDefault="00A64035" w:rsidP="00557F1F">
      <w:pPr>
        <w:pStyle w:val="Zkladntext"/>
        <w:numPr>
          <w:ilvl w:val="0"/>
          <w:numId w:val="16"/>
        </w:numPr>
        <w:tabs>
          <w:tab w:val="clear" w:pos="0"/>
          <w:tab w:val="clear" w:pos="7371"/>
        </w:tabs>
        <w:autoSpaceDE w:val="0"/>
        <w:autoSpaceDN w:val="0"/>
        <w:adjustRightInd w:val="0"/>
        <w:ind w:left="1097"/>
        <w:rPr>
          <w:rFonts w:cs="Arial"/>
          <w:b w:val="0"/>
          <w:snapToGrid w:val="0"/>
          <w:sz w:val="22"/>
          <w:szCs w:val="22"/>
        </w:rPr>
      </w:pPr>
      <w:r w:rsidRPr="00696747">
        <w:rPr>
          <w:rFonts w:cs="Arial"/>
          <w:b w:val="0"/>
          <w:sz w:val="22"/>
          <w:szCs w:val="22"/>
        </w:rPr>
        <w:t xml:space="preserve">dalšími menšími investory jsou </w:t>
      </w:r>
      <w:proofErr w:type="spellStart"/>
      <w:r w:rsidRPr="00696747">
        <w:rPr>
          <w:rFonts w:cs="Arial"/>
          <w:b w:val="0"/>
          <w:sz w:val="22"/>
          <w:szCs w:val="22"/>
        </w:rPr>
        <w:t>Busch</w:t>
      </w:r>
      <w:proofErr w:type="spellEnd"/>
      <w:r w:rsidRPr="00696747">
        <w:rPr>
          <w:rFonts w:cs="Arial"/>
          <w:b w:val="0"/>
          <w:sz w:val="22"/>
          <w:szCs w:val="22"/>
        </w:rPr>
        <w:t xml:space="preserve"> </w:t>
      </w:r>
      <w:proofErr w:type="spellStart"/>
      <w:r w:rsidRPr="00696747">
        <w:rPr>
          <w:rFonts w:cs="Arial"/>
          <w:b w:val="0"/>
          <w:sz w:val="22"/>
          <w:szCs w:val="22"/>
        </w:rPr>
        <w:t>Hel</w:t>
      </w:r>
      <w:r w:rsidRPr="00696747">
        <w:rPr>
          <w:rFonts w:cs="Arial"/>
          <w:b w:val="0"/>
          <w:snapToGrid w:val="0"/>
          <w:sz w:val="22"/>
          <w:szCs w:val="22"/>
        </w:rPr>
        <w:t>mets</w:t>
      </w:r>
      <w:proofErr w:type="spellEnd"/>
      <w:r w:rsidRPr="00696747">
        <w:rPr>
          <w:rFonts w:cs="Arial"/>
          <w:b w:val="0"/>
          <w:snapToGrid w:val="0"/>
          <w:sz w:val="22"/>
          <w:szCs w:val="22"/>
        </w:rPr>
        <w:t xml:space="preserve"> s.r.o. (28 zaměstnanců k </w:t>
      </w:r>
      <w:proofErr w:type="gramStart"/>
      <w:r w:rsidRPr="00696747">
        <w:rPr>
          <w:rFonts w:cs="Arial"/>
          <w:b w:val="0"/>
          <w:snapToGrid w:val="0"/>
          <w:sz w:val="22"/>
          <w:szCs w:val="22"/>
        </w:rPr>
        <w:t>31.12.2010</w:t>
      </w:r>
      <w:proofErr w:type="gramEnd"/>
      <w:r w:rsidRPr="00696747">
        <w:rPr>
          <w:rFonts w:cs="Arial"/>
          <w:b w:val="0"/>
          <w:snapToGrid w:val="0"/>
          <w:sz w:val="22"/>
          <w:szCs w:val="22"/>
        </w:rPr>
        <w:t xml:space="preserve">, v současné době ve výrazném útlumu výroby), První elektro a.s. (191 zaměstnanců k 30.6.2011) a HS </w:t>
      </w:r>
      <w:proofErr w:type="spellStart"/>
      <w:r w:rsidRPr="00696747">
        <w:rPr>
          <w:rFonts w:cs="Arial"/>
          <w:b w:val="0"/>
          <w:snapToGrid w:val="0"/>
          <w:sz w:val="22"/>
          <w:szCs w:val="22"/>
        </w:rPr>
        <w:t>Umformtechnik</w:t>
      </w:r>
      <w:proofErr w:type="spellEnd"/>
      <w:r w:rsidRPr="00696747">
        <w:rPr>
          <w:rFonts w:cs="Arial"/>
          <w:b w:val="0"/>
          <w:snapToGrid w:val="0"/>
          <w:sz w:val="22"/>
          <w:szCs w:val="22"/>
        </w:rPr>
        <w:t xml:space="preserve"> s.r.o. (92 zaměstnanců k 30.</w:t>
      </w:r>
      <w:r w:rsidR="0075074A">
        <w:rPr>
          <w:rFonts w:cs="Arial"/>
          <w:b w:val="0"/>
          <w:snapToGrid w:val="0"/>
          <w:sz w:val="22"/>
          <w:szCs w:val="22"/>
        </w:rPr>
        <w:t>0</w:t>
      </w:r>
      <w:r w:rsidRPr="00696747">
        <w:rPr>
          <w:rFonts w:cs="Arial"/>
          <w:b w:val="0"/>
          <w:snapToGrid w:val="0"/>
          <w:sz w:val="22"/>
          <w:szCs w:val="22"/>
        </w:rPr>
        <w:t>6.2011)</w:t>
      </w:r>
    </w:p>
    <w:p w:rsidR="00A64035" w:rsidRPr="00463430" w:rsidRDefault="00A64035" w:rsidP="00557F1F">
      <w:pPr>
        <w:pStyle w:val="Zkladntext"/>
        <w:numPr>
          <w:ilvl w:val="0"/>
          <w:numId w:val="15"/>
        </w:numPr>
        <w:tabs>
          <w:tab w:val="clear" w:pos="0"/>
          <w:tab w:val="clear" w:pos="7371"/>
        </w:tabs>
        <w:rPr>
          <w:rFonts w:cs="Arial"/>
          <w:b w:val="0"/>
          <w:sz w:val="22"/>
          <w:szCs w:val="22"/>
        </w:rPr>
      </w:pPr>
      <w:r w:rsidRPr="00463430">
        <w:rPr>
          <w:rFonts w:cs="Arial"/>
          <w:b w:val="0"/>
          <w:sz w:val="22"/>
          <w:szCs w:val="22"/>
        </w:rPr>
        <w:t xml:space="preserve">dalšími významnými zahraničními investory, kteří ovlivňují profesní strukturu v mikroregionu, je firma </w:t>
      </w:r>
      <w:proofErr w:type="spellStart"/>
      <w:r w:rsidRPr="00463430">
        <w:rPr>
          <w:rFonts w:cs="Arial"/>
          <w:b w:val="0"/>
          <w:sz w:val="22"/>
          <w:szCs w:val="22"/>
        </w:rPr>
        <w:t>Parker</w:t>
      </w:r>
      <w:proofErr w:type="spellEnd"/>
      <w:r w:rsidRPr="00463430">
        <w:rPr>
          <w:rFonts w:cs="Arial"/>
          <w:b w:val="0"/>
          <w:sz w:val="22"/>
          <w:szCs w:val="22"/>
        </w:rPr>
        <w:t xml:space="preserve"> </w:t>
      </w:r>
      <w:proofErr w:type="spellStart"/>
      <w:r w:rsidRPr="00463430">
        <w:rPr>
          <w:rFonts w:cs="Arial"/>
          <w:b w:val="0"/>
          <w:sz w:val="22"/>
          <w:szCs w:val="22"/>
        </w:rPr>
        <w:t>Hannifin</w:t>
      </w:r>
      <w:proofErr w:type="spellEnd"/>
      <w:r w:rsidRPr="00463430">
        <w:rPr>
          <w:rFonts w:cs="Arial"/>
          <w:b w:val="0"/>
          <w:sz w:val="22"/>
          <w:szCs w:val="22"/>
        </w:rPr>
        <w:t xml:space="preserve"> </w:t>
      </w:r>
      <w:proofErr w:type="spellStart"/>
      <w:r w:rsidRPr="00463430">
        <w:rPr>
          <w:rFonts w:cs="Arial"/>
          <w:b w:val="0"/>
          <w:sz w:val="22"/>
          <w:szCs w:val="22"/>
        </w:rPr>
        <w:t>Industrial</w:t>
      </w:r>
      <w:proofErr w:type="spellEnd"/>
      <w:r w:rsidRPr="00463430">
        <w:rPr>
          <w:rFonts w:cs="Arial"/>
          <w:b w:val="0"/>
          <w:sz w:val="22"/>
          <w:szCs w:val="22"/>
        </w:rPr>
        <w:t xml:space="preserve"> s.r.o. (603 zaměstnanců k </w:t>
      </w:r>
      <w:proofErr w:type="gramStart"/>
      <w:r w:rsidRPr="00463430">
        <w:rPr>
          <w:rFonts w:cs="Arial"/>
          <w:b w:val="0"/>
          <w:sz w:val="22"/>
          <w:szCs w:val="22"/>
        </w:rPr>
        <w:t>30.</w:t>
      </w:r>
      <w:r w:rsidR="0075074A">
        <w:rPr>
          <w:rFonts w:cs="Arial"/>
          <w:b w:val="0"/>
          <w:sz w:val="22"/>
          <w:szCs w:val="22"/>
        </w:rPr>
        <w:t>0</w:t>
      </w:r>
      <w:r w:rsidRPr="00463430">
        <w:rPr>
          <w:rFonts w:cs="Arial"/>
          <w:b w:val="0"/>
          <w:sz w:val="22"/>
          <w:szCs w:val="22"/>
        </w:rPr>
        <w:t>6.2011</w:t>
      </w:r>
      <w:proofErr w:type="gramEnd"/>
      <w:r w:rsidRPr="00463430">
        <w:rPr>
          <w:rFonts w:cs="Arial"/>
          <w:b w:val="0"/>
          <w:sz w:val="22"/>
          <w:szCs w:val="22"/>
        </w:rPr>
        <w:t xml:space="preserve">), který jako jeden z prvních zahraničních investorů v okrese získal investiční pobídku na podporu tvorby nových pracovních míst a dále </w:t>
      </w:r>
      <w:r w:rsidRPr="00463430">
        <w:rPr>
          <w:rFonts w:cs="Arial"/>
          <w:b w:val="0"/>
          <w:snapToGrid w:val="0"/>
          <w:sz w:val="22"/>
          <w:szCs w:val="22"/>
        </w:rPr>
        <w:t xml:space="preserve">v odvětví hutní výroby firma SANDVIK </w:t>
      </w:r>
      <w:r w:rsidRPr="00463430">
        <w:rPr>
          <w:rFonts w:cs="Arial"/>
          <w:b w:val="0"/>
          <w:sz w:val="22"/>
          <w:szCs w:val="22"/>
        </w:rPr>
        <w:t>CHOMUTOV PRECISION TUBES spol. s r.o. (569 zaměstnanců k 31.12.2011)</w:t>
      </w:r>
    </w:p>
    <w:p w:rsidR="00A64035" w:rsidRPr="00463430" w:rsidRDefault="00A64035" w:rsidP="00557F1F">
      <w:pPr>
        <w:pStyle w:val="Zkladntext"/>
        <w:numPr>
          <w:ilvl w:val="0"/>
          <w:numId w:val="15"/>
        </w:numPr>
        <w:tabs>
          <w:tab w:val="clear" w:pos="0"/>
          <w:tab w:val="clear" w:pos="7371"/>
        </w:tabs>
        <w:rPr>
          <w:rFonts w:cs="Arial"/>
          <w:b w:val="0"/>
          <w:snapToGrid w:val="0"/>
          <w:sz w:val="22"/>
          <w:szCs w:val="22"/>
        </w:rPr>
      </w:pPr>
      <w:r w:rsidRPr="00463430">
        <w:rPr>
          <w:rFonts w:cs="Arial"/>
          <w:b w:val="0"/>
          <w:snapToGrid w:val="0"/>
          <w:sz w:val="22"/>
          <w:szCs w:val="22"/>
        </w:rPr>
        <w:t>největšími zaměstnavateli v regionu jsou nadále Severočeské doly a.s. (1317 zaměstnanců k </w:t>
      </w:r>
      <w:proofErr w:type="gramStart"/>
      <w:r w:rsidRPr="00463430">
        <w:rPr>
          <w:rFonts w:cs="Arial"/>
          <w:b w:val="0"/>
          <w:snapToGrid w:val="0"/>
          <w:sz w:val="22"/>
          <w:szCs w:val="22"/>
        </w:rPr>
        <w:t>31.1.2011</w:t>
      </w:r>
      <w:proofErr w:type="gramEnd"/>
      <w:r w:rsidRPr="00463430">
        <w:rPr>
          <w:rFonts w:cs="Arial"/>
          <w:b w:val="0"/>
          <w:snapToGrid w:val="0"/>
          <w:sz w:val="22"/>
          <w:szCs w:val="22"/>
        </w:rPr>
        <w:t xml:space="preserve">) a Krajská zdravotní, a.s. (Nemocnice Chomutov – </w:t>
      </w:r>
      <w:r w:rsidRPr="00463430">
        <w:rPr>
          <w:rFonts w:cs="Arial"/>
          <w:b w:val="0"/>
          <w:snapToGrid w:val="0"/>
          <w:color w:val="000000"/>
          <w:sz w:val="22"/>
          <w:szCs w:val="22"/>
        </w:rPr>
        <w:t>914</w:t>
      </w:r>
      <w:r w:rsidRPr="00463430">
        <w:rPr>
          <w:rFonts w:cs="Arial"/>
          <w:b w:val="0"/>
          <w:snapToGrid w:val="0"/>
          <w:color w:val="FF0000"/>
          <w:sz w:val="22"/>
          <w:szCs w:val="22"/>
        </w:rPr>
        <w:t xml:space="preserve"> </w:t>
      </w:r>
      <w:r w:rsidRPr="00463430">
        <w:rPr>
          <w:rFonts w:cs="Arial"/>
          <w:b w:val="0"/>
          <w:snapToGrid w:val="0"/>
          <w:sz w:val="22"/>
          <w:szCs w:val="22"/>
        </w:rPr>
        <w:t>zaměstnanců k </w:t>
      </w:r>
      <w:proofErr w:type="gramStart"/>
      <w:r w:rsidRPr="00463430">
        <w:rPr>
          <w:rFonts w:cs="Arial"/>
          <w:b w:val="0"/>
          <w:snapToGrid w:val="0"/>
          <w:sz w:val="22"/>
          <w:szCs w:val="22"/>
        </w:rPr>
        <w:t>31.10.2010</w:t>
      </w:r>
      <w:proofErr w:type="gramEnd"/>
      <w:r w:rsidRPr="00463430">
        <w:rPr>
          <w:rFonts w:cs="Arial"/>
          <w:b w:val="0"/>
          <w:snapToGrid w:val="0"/>
          <w:sz w:val="22"/>
          <w:szCs w:val="22"/>
        </w:rPr>
        <w:t>)</w:t>
      </w:r>
    </w:p>
    <w:p w:rsidR="00A64035" w:rsidRPr="00463430" w:rsidRDefault="00A64035" w:rsidP="00A64035">
      <w:pPr>
        <w:pStyle w:val="Zkladntext"/>
        <w:jc w:val="both"/>
        <w:rPr>
          <w:rFonts w:cs="Arial"/>
          <w:b w:val="0"/>
          <w:color w:val="FF0000"/>
          <w:sz w:val="22"/>
          <w:szCs w:val="22"/>
        </w:rPr>
      </w:pPr>
    </w:p>
    <w:tbl>
      <w:tblPr>
        <w:tblW w:w="9075"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0"/>
        <w:gridCol w:w="1110"/>
        <w:gridCol w:w="1109"/>
        <w:gridCol w:w="890"/>
        <w:gridCol w:w="1417"/>
        <w:gridCol w:w="851"/>
        <w:gridCol w:w="1278"/>
      </w:tblGrid>
      <w:tr w:rsidR="00A64035" w:rsidRPr="00463430" w:rsidTr="0075074A">
        <w:trPr>
          <w:cantSplit/>
        </w:trPr>
        <w:tc>
          <w:tcPr>
            <w:tcW w:w="2420" w:type="dxa"/>
            <w:vMerge w:val="restart"/>
            <w:tcBorders>
              <w:top w:val="double" w:sz="4" w:space="0" w:color="auto"/>
              <w:left w:val="doub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Název mikroregionu</w:t>
            </w:r>
          </w:p>
        </w:tc>
        <w:tc>
          <w:tcPr>
            <w:tcW w:w="1110" w:type="dxa"/>
            <w:vMerge w:val="restart"/>
            <w:tcBorders>
              <w:top w:val="doub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počet obyvatel</w:t>
            </w:r>
          </w:p>
        </w:tc>
        <w:tc>
          <w:tcPr>
            <w:tcW w:w="1109" w:type="dxa"/>
            <w:vMerge w:val="restart"/>
            <w:tcBorders>
              <w:top w:val="doub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EAO</w:t>
            </w:r>
          </w:p>
        </w:tc>
        <w:tc>
          <w:tcPr>
            <w:tcW w:w="2307" w:type="dxa"/>
            <w:gridSpan w:val="2"/>
            <w:tcBorders>
              <w:top w:val="double" w:sz="4" w:space="0" w:color="auto"/>
              <w:left w:val="single" w:sz="4" w:space="0" w:color="auto"/>
              <w:bottom w:val="sing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 xml:space="preserve">počet uchazečů </w:t>
            </w:r>
          </w:p>
        </w:tc>
        <w:tc>
          <w:tcPr>
            <w:tcW w:w="2129" w:type="dxa"/>
            <w:gridSpan w:val="2"/>
            <w:tcBorders>
              <w:top w:val="double" w:sz="4" w:space="0" w:color="auto"/>
              <w:left w:val="single" w:sz="4" w:space="0" w:color="auto"/>
              <w:bottom w:val="single" w:sz="4" w:space="0" w:color="auto"/>
              <w:right w:val="doub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 xml:space="preserve">MN v % </w:t>
            </w:r>
          </w:p>
        </w:tc>
      </w:tr>
      <w:tr w:rsidR="00A64035" w:rsidRPr="00463430" w:rsidTr="0075074A">
        <w:trPr>
          <w:cantSplit/>
        </w:trPr>
        <w:tc>
          <w:tcPr>
            <w:tcW w:w="2420" w:type="dxa"/>
            <w:vMerge/>
            <w:tcBorders>
              <w:top w:val="double" w:sz="4" w:space="0" w:color="auto"/>
              <w:left w:val="double" w:sz="4" w:space="0" w:color="auto"/>
              <w:bottom w:val="double" w:sz="4" w:space="0" w:color="auto"/>
              <w:right w:val="single" w:sz="4" w:space="0" w:color="auto"/>
            </w:tcBorders>
            <w:vAlign w:val="center"/>
            <w:hideMark/>
          </w:tcPr>
          <w:p w:rsidR="00A64035" w:rsidRPr="00463430" w:rsidRDefault="00A64035" w:rsidP="0075074A">
            <w:pPr>
              <w:rPr>
                <w:rFonts w:cs="Arial"/>
                <w:b/>
                <w:bCs/>
                <w:sz w:val="22"/>
                <w:szCs w:val="22"/>
              </w:rPr>
            </w:pPr>
          </w:p>
        </w:tc>
        <w:tc>
          <w:tcPr>
            <w:tcW w:w="1110" w:type="dxa"/>
            <w:vMerge/>
            <w:tcBorders>
              <w:top w:val="double" w:sz="4" w:space="0" w:color="auto"/>
              <w:left w:val="single" w:sz="4" w:space="0" w:color="auto"/>
              <w:bottom w:val="double" w:sz="4" w:space="0" w:color="auto"/>
              <w:right w:val="single" w:sz="4" w:space="0" w:color="auto"/>
            </w:tcBorders>
            <w:vAlign w:val="center"/>
            <w:hideMark/>
          </w:tcPr>
          <w:p w:rsidR="00A64035" w:rsidRPr="00463430" w:rsidRDefault="00A64035" w:rsidP="0075074A">
            <w:pPr>
              <w:rPr>
                <w:rFonts w:cs="Arial"/>
                <w:b/>
                <w:bCs/>
                <w:sz w:val="22"/>
                <w:szCs w:val="22"/>
              </w:rPr>
            </w:pPr>
          </w:p>
        </w:tc>
        <w:tc>
          <w:tcPr>
            <w:tcW w:w="1109" w:type="dxa"/>
            <w:vMerge/>
            <w:tcBorders>
              <w:top w:val="double" w:sz="4" w:space="0" w:color="auto"/>
              <w:left w:val="single" w:sz="4" w:space="0" w:color="auto"/>
              <w:bottom w:val="double" w:sz="4" w:space="0" w:color="auto"/>
              <w:right w:val="single" w:sz="4" w:space="0" w:color="auto"/>
            </w:tcBorders>
            <w:vAlign w:val="center"/>
            <w:hideMark/>
          </w:tcPr>
          <w:p w:rsidR="00A64035" w:rsidRPr="00463430" w:rsidRDefault="00A64035" w:rsidP="0075074A">
            <w:pPr>
              <w:rPr>
                <w:rFonts w:cs="Arial"/>
                <w:b/>
                <w:bCs/>
                <w:sz w:val="22"/>
                <w:szCs w:val="22"/>
              </w:rPr>
            </w:pPr>
          </w:p>
        </w:tc>
        <w:tc>
          <w:tcPr>
            <w:tcW w:w="890" w:type="dxa"/>
            <w:tcBorders>
              <w:top w:val="sing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celkem</w:t>
            </w:r>
          </w:p>
        </w:tc>
        <w:tc>
          <w:tcPr>
            <w:tcW w:w="1417" w:type="dxa"/>
            <w:tcBorders>
              <w:top w:val="sing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dosažitelní</w:t>
            </w:r>
          </w:p>
        </w:tc>
        <w:tc>
          <w:tcPr>
            <w:tcW w:w="851" w:type="dxa"/>
            <w:tcBorders>
              <w:top w:val="single" w:sz="4" w:space="0" w:color="auto"/>
              <w:left w:val="single" w:sz="4" w:space="0" w:color="auto"/>
              <w:bottom w:val="double" w:sz="4" w:space="0" w:color="auto"/>
              <w:right w:val="sing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 xml:space="preserve">z </w:t>
            </w:r>
            <w:proofErr w:type="spellStart"/>
            <w:r w:rsidRPr="00463430">
              <w:rPr>
                <w:rFonts w:cs="Arial"/>
                <w:sz w:val="22"/>
                <w:szCs w:val="22"/>
              </w:rPr>
              <w:t>celk</w:t>
            </w:r>
            <w:proofErr w:type="spellEnd"/>
            <w:r w:rsidRPr="00463430">
              <w:rPr>
                <w:rFonts w:cs="Arial"/>
                <w:sz w:val="22"/>
                <w:szCs w:val="22"/>
              </w:rPr>
              <w:t>. počtu uch.</w:t>
            </w:r>
          </w:p>
        </w:tc>
        <w:tc>
          <w:tcPr>
            <w:tcW w:w="1278" w:type="dxa"/>
            <w:tcBorders>
              <w:top w:val="single" w:sz="4" w:space="0" w:color="auto"/>
              <w:left w:val="single" w:sz="4" w:space="0" w:color="auto"/>
              <w:bottom w:val="double" w:sz="4" w:space="0" w:color="auto"/>
              <w:right w:val="double" w:sz="4" w:space="0" w:color="auto"/>
            </w:tcBorders>
            <w:shd w:val="clear" w:color="auto" w:fill="B3B3B3"/>
            <w:vAlign w:val="center"/>
            <w:hideMark/>
          </w:tcPr>
          <w:p w:rsidR="00A64035" w:rsidRPr="00463430" w:rsidRDefault="00A64035" w:rsidP="0075074A">
            <w:pPr>
              <w:pStyle w:val="Zkladntext"/>
              <w:rPr>
                <w:rFonts w:cs="Arial"/>
                <w:sz w:val="22"/>
                <w:szCs w:val="22"/>
              </w:rPr>
            </w:pPr>
            <w:r w:rsidRPr="00463430">
              <w:rPr>
                <w:rFonts w:cs="Arial"/>
                <w:sz w:val="22"/>
                <w:szCs w:val="22"/>
              </w:rPr>
              <w:t xml:space="preserve">z </w:t>
            </w:r>
            <w:proofErr w:type="spellStart"/>
            <w:r w:rsidRPr="00463430">
              <w:rPr>
                <w:rFonts w:cs="Arial"/>
                <w:sz w:val="22"/>
                <w:szCs w:val="22"/>
              </w:rPr>
              <w:t>dosaž</w:t>
            </w:r>
            <w:proofErr w:type="spellEnd"/>
            <w:r w:rsidRPr="00463430">
              <w:rPr>
                <w:rFonts w:cs="Arial"/>
                <w:sz w:val="22"/>
                <w:szCs w:val="22"/>
              </w:rPr>
              <w:t>. uchazečů</w:t>
            </w:r>
          </w:p>
        </w:tc>
      </w:tr>
      <w:tr w:rsidR="00A64035" w:rsidRPr="00463430" w:rsidTr="0075074A">
        <w:trPr>
          <w:cantSplit/>
          <w:trHeight w:hRule="exact" w:val="284"/>
        </w:trPr>
        <w:tc>
          <w:tcPr>
            <w:tcW w:w="2420" w:type="dxa"/>
            <w:tcBorders>
              <w:top w:val="double" w:sz="4" w:space="0" w:color="auto"/>
              <w:left w:val="double" w:sz="4" w:space="0" w:color="auto"/>
              <w:bottom w:val="single" w:sz="4" w:space="0" w:color="auto"/>
              <w:right w:val="single" w:sz="4" w:space="0" w:color="auto"/>
            </w:tcBorders>
            <w:hideMark/>
          </w:tcPr>
          <w:p w:rsidR="00A64035" w:rsidRPr="00463430" w:rsidRDefault="00A64035" w:rsidP="0075074A">
            <w:pPr>
              <w:pStyle w:val="Zkladntext"/>
              <w:jc w:val="both"/>
              <w:rPr>
                <w:rFonts w:cs="Arial"/>
                <w:b w:val="0"/>
                <w:i/>
                <w:sz w:val="22"/>
                <w:szCs w:val="22"/>
              </w:rPr>
            </w:pPr>
            <w:r w:rsidRPr="00463430">
              <w:rPr>
                <w:rFonts w:cs="Arial"/>
                <w:b w:val="0"/>
                <w:i/>
                <w:sz w:val="22"/>
                <w:szCs w:val="22"/>
              </w:rPr>
              <w:t>Chomutov</w:t>
            </w:r>
          </w:p>
        </w:tc>
        <w:tc>
          <w:tcPr>
            <w:tcW w:w="1110" w:type="dxa"/>
            <w:tcBorders>
              <w:top w:val="double" w:sz="4" w:space="0" w:color="auto"/>
              <w:left w:val="single" w:sz="4" w:space="0" w:color="auto"/>
              <w:bottom w:val="single" w:sz="4" w:space="0" w:color="auto"/>
              <w:right w:val="sing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57 686</w:t>
            </w:r>
          </w:p>
        </w:tc>
        <w:tc>
          <w:tcPr>
            <w:tcW w:w="1109" w:type="dxa"/>
            <w:tcBorders>
              <w:top w:val="double" w:sz="4" w:space="0" w:color="auto"/>
              <w:left w:val="single" w:sz="4" w:space="0" w:color="auto"/>
              <w:bottom w:val="single" w:sz="4" w:space="0" w:color="auto"/>
              <w:right w:val="sing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30 141</w:t>
            </w:r>
          </w:p>
        </w:tc>
        <w:tc>
          <w:tcPr>
            <w:tcW w:w="890" w:type="dxa"/>
            <w:tcBorders>
              <w:top w:val="double" w:sz="4" w:space="0" w:color="auto"/>
              <w:left w:val="single" w:sz="4" w:space="0" w:color="auto"/>
              <w:bottom w:val="single" w:sz="12" w:space="0" w:color="auto"/>
              <w:right w:val="sing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4 066</w:t>
            </w:r>
          </w:p>
        </w:tc>
        <w:tc>
          <w:tcPr>
            <w:tcW w:w="1417" w:type="dxa"/>
            <w:tcBorders>
              <w:top w:val="double" w:sz="4" w:space="0" w:color="auto"/>
              <w:left w:val="single" w:sz="4" w:space="0" w:color="auto"/>
              <w:bottom w:val="single" w:sz="4" w:space="0" w:color="auto"/>
              <w:right w:val="sing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4 027</w:t>
            </w:r>
          </w:p>
        </w:tc>
        <w:tc>
          <w:tcPr>
            <w:tcW w:w="851" w:type="dxa"/>
            <w:tcBorders>
              <w:top w:val="double" w:sz="4" w:space="0" w:color="auto"/>
              <w:left w:val="single" w:sz="4" w:space="0" w:color="auto"/>
              <w:bottom w:val="single" w:sz="4" w:space="0" w:color="auto"/>
              <w:right w:val="sing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13,49</w:t>
            </w:r>
          </w:p>
        </w:tc>
        <w:tc>
          <w:tcPr>
            <w:tcW w:w="1278" w:type="dxa"/>
            <w:tcBorders>
              <w:top w:val="double" w:sz="4" w:space="0" w:color="auto"/>
              <w:left w:val="single" w:sz="4" w:space="0" w:color="auto"/>
              <w:bottom w:val="single" w:sz="4" w:space="0" w:color="auto"/>
              <w:right w:val="double" w:sz="4" w:space="0" w:color="auto"/>
            </w:tcBorders>
            <w:hideMark/>
          </w:tcPr>
          <w:p w:rsidR="00A64035" w:rsidRPr="00463430" w:rsidRDefault="00A64035" w:rsidP="0075074A">
            <w:pPr>
              <w:pStyle w:val="Zkladntext"/>
              <w:jc w:val="center"/>
              <w:rPr>
                <w:rFonts w:cs="Arial"/>
                <w:b w:val="0"/>
                <w:i/>
                <w:sz w:val="22"/>
                <w:szCs w:val="22"/>
              </w:rPr>
            </w:pPr>
            <w:r w:rsidRPr="00463430">
              <w:rPr>
                <w:rFonts w:cs="Arial"/>
                <w:b w:val="0"/>
                <w:i/>
                <w:sz w:val="22"/>
                <w:szCs w:val="22"/>
              </w:rPr>
              <w:t>13,36</w:t>
            </w:r>
          </w:p>
        </w:tc>
      </w:tr>
    </w:tbl>
    <w:p w:rsidR="00A64035" w:rsidRDefault="00A64035" w:rsidP="00A64035">
      <w:pPr>
        <w:pStyle w:val="Zkladntext"/>
        <w:jc w:val="both"/>
        <w:rPr>
          <w:rFonts w:cs="Arial"/>
          <w:b w:val="0"/>
          <w:bCs/>
          <w:iCs/>
          <w:sz w:val="22"/>
          <w:szCs w:val="22"/>
        </w:rPr>
      </w:pPr>
    </w:p>
    <w:p w:rsidR="00A64035" w:rsidRDefault="00A64035" w:rsidP="00A64035">
      <w:pPr>
        <w:pStyle w:val="Zkladntext"/>
        <w:jc w:val="both"/>
        <w:rPr>
          <w:rFonts w:cs="Arial"/>
          <w:b w:val="0"/>
          <w:bCs/>
          <w:iCs/>
          <w:sz w:val="22"/>
          <w:szCs w:val="22"/>
        </w:rPr>
      </w:pPr>
    </w:p>
    <w:p w:rsidR="00A64035" w:rsidRDefault="00A64035" w:rsidP="00A64035">
      <w:pPr>
        <w:pStyle w:val="Zkladntext"/>
        <w:jc w:val="both"/>
        <w:rPr>
          <w:rFonts w:cs="Arial"/>
          <w:b w:val="0"/>
          <w:bCs/>
          <w:iCs/>
          <w:sz w:val="22"/>
          <w:szCs w:val="22"/>
        </w:rPr>
      </w:pPr>
    </w:p>
    <w:p w:rsidR="00A64035" w:rsidRDefault="00A64035" w:rsidP="00A64035">
      <w:pPr>
        <w:pStyle w:val="Zkladntext"/>
        <w:jc w:val="both"/>
        <w:rPr>
          <w:rFonts w:cs="Arial"/>
          <w:b w:val="0"/>
          <w:bCs/>
          <w:iCs/>
          <w:sz w:val="22"/>
          <w:szCs w:val="22"/>
        </w:rPr>
      </w:pPr>
    </w:p>
    <w:p w:rsidR="00A64035" w:rsidRDefault="00A64035" w:rsidP="00A64035">
      <w:pPr>
        <w:pStyle w:val="Zkladntext"/>
        <w:jc w:val="both"/>
        <w:rPr>
          <w:rFonts w:cs="Arial"/>
          <w:b w:val="0"/>
          <w:bCs/>
          <w:iCs/>
          <w:sz w:val="22"/>
          <w:szCs w:val="22"/>
        </w:rPr>
      </w:pPr>
    </w:p>
    <w:p w:rsidR="00A64035" w:rsidRDefault="00A64035" w:rsidP="00A64035">
      <w:pPr>
        <w:pStyle w:val="Zkladntext"/>
        <w:jc w:val="both"/>
        <w:rPr>
          <w:rFonts w:cs="Arial"/>
          <w:b w:val="0"/>
          <w:bCs/>
          <w:iCs/>
          <w:sz w:val="22"/>
          <w:szCs w:val="22"/>
        </w:rPr>
      </w:pPr>
    </w:p>
    <w:p w:rsidR="00A64035" w:rsidRDefault="00A64035" w:rsidP="00A64035">
      <w:pPr>
        <w:pStyle w:val="Zkladntext"/>
        <w:jc w:val="both"/>
        <w:rPr>
          <w:rFonts w:cs="Arial"/>
          <w:b w:val="0"/>
          <w:bCs/>
          <w:iCs/>
          <w:sz w:val="22"/>
          <w:szCs w:val="22"/>
        </w:rPr>
      </w:pPr>
    </w:p>
    <w:p w:rsidR="00A64035" w:rsidRDefault="00A64035" w:rsidP="00A64035">
      <w:pPr>
        <w:pStyle w:val="Zkladntext"/>
        <w:jc w:val="both"/>
        <w:rPr>
          <w:rFonts w:cs="Arial"/>
          <w:b w:val="0"/>
          <w:bCs/>
          <w:iCs/>
          <w:sz w:val="22"/>
          <w:szCs w:val="22"/>
        </w:rPr>
      </w:pPr>
    </w:p>
    <w:p w:rsidR="00A64035" w:rsidRPr="00B8485C" w:rsidRDefault="00A64035" w:rsidP="00A64035">
      <w:pPr>
        <w:pStyle w:val="Zkladntext"/>
        <w:jc w:val="both"/>
        <w:rPr>
          <w:rFonts w:cs="Arial"/>
          <w:b w:val="0"/>
          <w:bCs/>
          <w:iCs/>
          <w:sz w:val="22"/>
          <w:szCs w:val="22"/>
        </w:rPr>
      </w:pPr>
    </w:p>
    <w:p w:rsidR="00A64035" w:rsidRPr="00463430" w:rsidRDefault="00A64035" w:rsidP="00A64035">
      <w:pPr>
        <w:jc w:val="both"/>
        <w:rPr>
          <w:rFonts w:cs="Arial"/>
          <w:b/>
          <w:sz w:val="22"/>
          <w:szCs w:val="22"/>
        </w:rPr>
      </w:pPr>
      <w:r w:rsidRPr="00463430">
        <w:rPr>
          <w:rFonts w:cs="Arial"/>
          <w:b/>
          <w:sz w:val="22"/>
          <w:szCs w:val="22"/>
        </w:rPr>
        <w:lastRenderedPageBreak/>
        <w:t>Silné stránky okresu:</w:t>
      </w:r>
    </w:p>
    <w:p w:rsidR="00A64035" w:rsidRPr="00696747" w:rsidRDefault="00A64035" w:rsidP="00557F1F">
      <w:pPr>
        <w:numPr>
          <w:ilvl w:val="1"/>
          <w:numId w:val="17"/>
        </w:numPr>
        <w:ind w:left="723"/>
        <w:rPr>
          <w:rFonts w:cs="Arial"/>
          <w:sz w:val="22"/>
          <w:szCs w:val="22"/>
        </w:rPr>
      </w:pPr>
      <w:r w:rsidRPr="00696747">
        <w:rPr>
          <w:rFonts w:cs="Arial"/>
          <w:sz w:val="22"/>
          <w:szCs w:val="22"/>
        </w:rPr>
        <w:t xml:space="preserve">je dostatečná kapacita volných ploch a zdroje pracovních sil pro nové investory </w:t>
      </w:r>
      <w:r w:rsidRPr="00696747">
        <w:rPr>
          <w:rFonts w:cs="Arial"/>
          <w:sz w:val="22"/>
          <w:szCs w:val="22"/>
        </w:rPr>
        <w:br/>
        <w:t>na průmyslových zónách v Klášterci nad Ohří a Kadani pro vytvoření nových pracovních míst, podíl na obsazování pracovních míst v zóně Triangle</w:t>
      </w:r>
    </w:p>
    <w:p w:rsidR="00A64035" w:rsidRPr="00463430" w:rsidRDefault="00A64035" w:rsidP="00557F1F">
      <w:pPr>
        <w:numPr>
          <w:ilvl w:val="0"/>
          <w:numId w:val="17"/>
        </w:numPr>
        <w:ind w:left="723"/>
        <w:rPr>
          <w:rFonts w:cs="Arial"/>
          <w:sz w:val="22"/>
          <w:szCs w:val="22"/>
        </w:rPr>
      </w:pPr>
      <w:r w:rsidRPr="00463430">
        <w:rPr>
          <w:rFonts w:cs="Arial"/>
          <w:sz w:val="22"/>
          <w:szCs w:val="22"/>
        </w:rPr>
        <w:t>blízkost průmyslové zóny Triangle (pro okresy Louny, Most a Chomutov) + existence</w:t>
      </w:r>
    </w:p>
    <w:p w:rsidR="00A64035" w:rsidRPr="00463430" w:rsidRDefault="00A64035" w:rsidP="00A64035">
      <w:pPr>
        <w:ind w:left="723"/>
        <w:rPr>
          <w:rFonts w:cs="Arial"/>
          <w:sz w:val="22"/>
          <w:szCs w:val="22"/>
        </w:rPr>
      </w:pPr>
      <w:r w:rsidRPr="00463430">
        <w:rPr>
          <w:rFonts w:cs="Arial"/>
          <w:sz w:val="22"/>
          <w:szCs w:val="22"/>
        </w:rPr>
        <w:t>průmyslových zón – Chomutov, Klášterec nad Ohří a Kadaň</w:t>
      </w:r>
    </w:p>
    <w:p w:rsidR="00A64035" w:rsidRPr="00463430" w:rsidRDefault="00A64035" w:rsidP="00557F1F">
      <w:pPr>
        <w:numPr>
          <w:ilvl w:val="0"/>
          <w:numId w:val="17"/>
        </w:numPr>
        <w:ind w:left="723"/>
        <w:rPr>
          <w:rFonts w:cs="Arial"/>
          <w:sz w:val="22"/>
          <w:szCs w:val="22"/>
        </w:rPr>
      </w:pPr>
      <w:r w:rsidRPr="00463430">
        <w:rPr>
          <w:rFonts w:cs="Arial"/>
          <w:sz w:val="22"/>
          <w:szCs w:val="22"/>
        </w:rPr>
        <w:t>centrum těžby hnědého uhlí a energetiky, plánovaná rekonstrukce elektráren</w:t>
      </w:r>
    </w:p>
    <w:p w:rsidR="00A64035" w:rsidRDefault="00A64035" w:rsidP="00557F1F">
      <w:pPr>
        <w:numPr>
          <w:ilvl w:val="0"/>
          <w:numId w:val="17"/>
        </w:numPr>
        <w:ind w:left="723"/>
        <w:rPr>
          <w:rFonts w:cs="Arial"/>
          <w:sz w:val="22"/>
          <w:szCs w:val="22"/>
        </w:rPr>
      </w:pPr>
      <w:r w:rsidRPr="00463430">
        <w:rPr>
          <w:rFonts w:cs="Arial"/>
          <w:sz w:val="22"/>
          <w:szCs w:val="22"/>
        </w:rPr>
        <w:t>železniční koridor směr Ústí nad Labem</w:t>
      </w:r>
    </w:p>
    <w:p w:rsidR="00A64035" w:rsidRPr="00696747" w:rsidRDefault="00A64035" w:rsidP="00557F1F">
      <w:pPr>
        <w:numPr>
          <w:ilvl w:val="0"/>
          <w:numId w:val="17"/>
        </w:numPr>
        <w:ind w:left="723"/>
        <w:rPr>
          <w:rFonts w:cs="Arial"/>
          <w:sz w:val="22"/>
          <w:szCs w:val="22"/>
        </w:rPr>
      </w:pPr>
      <w:r w:rsidRPr="00696747">
        <w:rPr>
          <w:rFonts w:cs="Arial"/>
          <w:sz w:val="22"/>
          <w:szCs w:val="22"/>
        </w:rPr>
        <w:t>spolupráce zaměstnavatelů a škol, zejména v oblasti učňovského školství a v rozvoji řemesel, přeshraniční Česko-Saská spolupráce škol a úřadu práce</w:t>
      </w:r>
    </w:p>
    <w:p w:rsidR="00A64035" w:rsidRPr="00463430" w:rsidRDefault="00A64035" w:rsidP="00A64035">
      <w:pPr>
        <w:rPr>
          <w:rFonts w:cs="Arial"/>
          <w:sz w:val="22"/>
          <w:szCs w:val="22"/>
        </w:rPr>
      </w:pPr>
    </w:p>
    <w:p w:rsidR="00A64035" w:rsidRPr="00463430" w:rsidRDefault="00A64035" w:rsidP="00A64035">
      <w:pPr>
        <w:rPr>
          <w:rFonts w:cs="Arial"/>
          <w:b/>
          <w:sz w:val="22"/>
          <w:szCs w:val="22"/>
        </w:rPr>
      </w:pPr>
      <w:r w:rsidRPr="00463430">
        <w:rPr>
          <w:rFonts w:cs="Arial"/>
          <w:b/>
          <w:sz w:val="22"/>
          <w:szCs w:val="22"/>
        </w:rPr>
        <w:t>Slabé stránky okresu:</w:t>
      </w:r>
    </w:p>
    <w:p w:rsidR="00A64035" w:rsidRPr="00463430" w:rsidRDefault="00A64035" w:rsidP="00557F1F">
      <w:pPr>
        <w:numPr>
          <w:ilvl w:val="0"/>
          <w:numId w:val="18"/>
        </w:numPr>
        <w:rPr>
          <w:rFonts w:cs="Arial"/>
          <w:color w:val="000000"/>
          <w:sz w:val="22"/>
          <w:szCs w:val="22"/>
        </w:rPr>
      </w:pPr>
      <w:r w:rsidRPr="00463430">
        <w:rPr>
          <w:rFonts w:cs="Arial"/>
          <w:sz w:val="22"/>
          <w:szCs w:val="22"/>
        </w:rPr>
        <w:t>strukturálně postižený region,</w:t>
      </w:r>
      <w:r w:rsidRPr="00463430">
        <w:rPr>
          <w:rFonts w:cs="Arial"/>
          <w:b/>
          <w:sz w:val="22"/>
          <w:szCs w:val="22"/>
        </w:rPr>
        <w:t xml:space="preserve"> </w:t>
      </w:r>
      <w:r w:rsidRPr="00463430">
        <w:rPr>
          <w:rFonts w:cs="Arial"/>
          <w:color w:val="000000"/>
          <w:sz w:val="22"/>
          <w:szCs w:val="22"/>
        </w:rPr>
        <w:t>profesní poptávka trhu práce neodpovídá vzdělanostní</w:t>
      </w:r>
    </w:p>
    <w:p w:rsidR="00A64035" w:rsidRPr="00463430" w:rsidRDefault="00A64035" w:rsidP="00A64035">
      <w:pPr>
        <w:ind w:left="720"/>
        <w:rPr>
          <w:rFonts w:cs="Arial"/>
          <w:color w:val="000000"/>
          <w:sz w:val="22"/>
          <w:szCs w:val="22"/>
        </w:rPr>
      </w:pPr>
      <w:r w:rsidRPr="00463430">
        <w:rPr>
          <w:rFonts w:cs="Arial"/>
          <w:color w:val="000000"/>
          <w:sz w:val="22"/>
          <w:szCs w:val="22"/>
        </w:rPr>
        <w:t xml:space="preserve">a kvalifikační struktuře </w:t>
      </w:r>
    </w:p>
    <w:p w:rsidR="00A64035" w:rsidRPr="00463430" w:rsidRDefault="00A64035" w:rsidP="00557F1F">
      <w:pPr>
        <w:numPr>
          <w:ilvl w:val="0"/>
          <w:numId w:val="18"/>
        </w:numPr>
        <w:rPr>
          <w:rFonts w:cs="Arial"/>
          <w:color w:val="000000"/>
          <w:sz w:val="22"/>
          <w:szCs w:val="22"/>
        </w:rPr>
      </w:pPr>
      <w:r w:rsidRPr="00463430">
        <w:rPr>
          <w:rFonts w:cs="Arial"/>
          <w:color w:val="000000"/>
          <w:sz w:val="22"/>
          <w:szCs w:val="22"/>
        </w:rPr>
        <w:t>region s nízkým HDP na 1 obyvatele v porovnání s ČR</w:t>
      </w:r>
    </w:p>
    <w:p w:rsidR="00A64035" w:rsidRPr="00463430" w:rsidRDefault="00A64035" w:rsidP="00557F1F">
      <w:pPr>
        <w:numPr>
          <w:ilvl w:val="0"/>
          <w:numId w:val="18"/>
        </w:numPr>
        <w:rPr>
          <w:rFonts w:cs="Arial"/>
          <w:color w:val="000000"/>
          <w:sz w:val="22"/>
          <w:szCs w:val="22"/>
        </w:rPr>
      </w:pPr>
      <w:r w:rsidRPr="00463430">
        <w:rPr>
          <w:rFonts w:cs="Arial"/>
          <w:color w:val="000000"/>
          <w:sz w:val="22"/>
          <w:szCs w:val="22"/>
        </w:rPr>
        <w:t>v porovnání s MN v ČR stále nadprůměrná nezaměstnanost</w:t>
      </w:r>
    </w:p>
    <w:p w:rsidR="00A64035" w:rsidRPr="00463430" w:rsidRDefault="00A64035" w:rsidP="00557F1F">
      <w:pPr>
        <w:numPr>
          <w:ilvl w:val="0"/>
          <w:numId w:val="18"/>
        </w:numPr>
        <w:rPr>
          <w:rFonts w:cs="Arial"/>
          <w:sz w:val="22"/>
          <w:szCs w:val="22"/>
        </w:rPr>
      </w:pPr>
      <w:r w:rsidRPr="00463430">
        <w:rPr>
          <w:rFonts w:cs="Arial"/>
          <w:sz w:val="22"/>
          <w:szCs w:val="22"/>
        </w:rPr>
        <w:t>nízká intenzita osídlení v horské a zemědělské oblasti okresu</w:t>
      </w:r>
    </w:p>
    <w:p w:rsidR="00A64035" w:rsidRPr="00463430" w:rsidRDefault="00A64035" w:rsidP="00557F1F">
      <w:pPr>
        <w:numPr>
          <w:ilvl w:val="0"/>
          <w:numId w:val="18"/>
        </w:numPr>
        <w:rPr>
          <w:rFonts w:cs="Arial"/>
          <w:sz w:val="22"/>
          <w:szCs w:val="22"/>
        </w:rPr>
      </w:pPr>
      <w:r w:rsidRPr="00463430">
        <w:rPr>
          <w:rFonts w:cs="Arial"/>
          <w:sz w:val="22"/>
          <w:szCs w:val="22"/>
        </w:rPr>
        <w:t>průběžný pokles příjmů obyvatelstva okresu oproti ČR i kraji</w:t>
      </w:r>
    </w:p>
    <w:p w:rsidR="00A64035" w:rsidRPr="00463430" w:rsidRDefault="00A64035" w:rsidP="00557F1F">
      <w:pPr>
        <w:numPr>
          <w:ilvl w:val="0"/>
          <w:numId w:val="18"/>
        </w:numPr>
        <w:rPr>
          <w:rFonts w:cs="Arial"/>
          <w:sz w:val="22"/>
          <w:szCs w:val="22"/>
        </w:rPr>
      </w:pPr>
      <w:r w:rsidRPr="00463430">
        <w:rPr>
          <w:rFonts w:cs="Arial"/>
          <w:sz w:val="22"/>
          <w:szCs w:val="22"/>
        </w:rPr>
        <w:t>dosluhující zdroje (elektrárny, hutní odvětví apod.)</w:t>
      </w:r>
    </w:p>
    <w:p w:rsidR="00A64035" w:rsidRPr="00463430" w:rsidRDefault="00A64035" w:rsidP="00557F1F">
      <w:pPr>
        <w:numPr>
          <w:ilvl w:val="0"/>
          <w:numId w:val="18"/>
        </w:numPr>
        <w:rPr>
          <w:rFonts w:cs="Arial"/>
          <w:sz w:val="22"/>
          <w:szCs w:val="22"/>
        </w:rPr>
      </w:pPr>
      <w:r w:rsidRPr="00463430">
        <w:rPr>
          <w:rFonts w:cs="Arial"/>
          <w:sz w:val="22"/>
          <w:szCs w:val="22"/>
        </w:rPr>
        <w:t>celkový úbytek pracovních příležitostí zejména pro uchazeče se základním vzděláním</w:t>
      </w:r>
    </w:p>
    <w:p w:rsidR="00A64035" w:rsidRDefault="00A64035" w:rsidP="00557F1F">
      <w:pPr>
        <w:numPr>
          <w:ilvl w:val="0"/>
          <w:numId w:val="18"/>
        </w:numPr>
        <w:rPr>
          <w:rFonts w:cs="Arial"/>
          <w:sz w:val="22"/>
          <w:szCs w:val="22"/>
        </w:rPr>
      </w:pPr>
      <w:r w:rsidRPr="00463430">
        <w:rPr>
          <w:rFonts w:cs="Arial"/>
          <w:sz w:val="22"/>
          <w:szCs w:val="22"/>
        </w:rPr>
        <w:t xml:space="preserve">absence rychlostní komunikace směr Praha – Chomutov – Chemnitz (SRN) a dále rychlostní komunikace směr Plzeň, Cheb </w:t>
      </w:r>
    </w:p>
    <w:p w:rsidR="00A64035" w:rsidRPr="00696747" w:rsidRDefault="00A64035" w:rsidP="00557F1F">
      <w:pPr>
        <w:numPr>
          <w:ilvl w:val="0"/>
          <w:numId w:val="18"/>
        </w:numPr>
        <w:rPr>
          <w:rFonts w:cs="Arial"/>
          <w:sz w:val="22"/>
          <w:szCs w:val="22"/>
        </w:rPr>
      </w:pPr>
      <w:r w:rsidRPr="00696747">
        <w:rPr>
          <w:rFonts w:cs="Arial"/>
          <w:sz w:val="22"/>
          <w:szCs w:val="22"/>
        </w:rPr>
        <w:t xml:space="preserve">nevyhovující dopravní spojení do průmyslové oblasti regionu snižuje některým skupinám nezaměstnaných z horské a zemědělské oblasti okresu možnost dojíždět do zaměstnání v průmyslových zónách Chomutov, Kadaň, Klášterec nad Ohří </w:t>
      </w:r>
      <w:r w:rsidR="0075074A">
        <w:rPr>
          <w:rFonts w:cs="Arial"/>
          <w:sz w:val="22"/>
          <w:szCs w:val="22"/>
        </w:rPr>
        <w:br/>
      </w:r>
      <w:r w:rsidRPr="00696747">
        <w:rPr>
          <w:rFonts w:cs="Arial"/>
          <w:sz w:val="22"/>
          <w:szCs w:val="22"/>
        </w:rPr>
        <w:t>a Triangle</w:t>
      </w:r>
    </w:p>
    <w:p w:rsidR="00A64035" w:rsidRPr="00463430" w:rsidRDefault="00A64035" w:rsidP="00557F1F">
      <w:pPr>
        <w:pStyle w:val="Zkladntext"/>
        <w:numPr>
          <w:ilvl w:val="0"/>
          <w:numId w:val="18"/>
        </w:numPr>
        <w:tabs>
          <w:tab w:val="clear" w:pos="0"/>
          <w:tab w:val="clear" w:pos="7371"/>
        </w:tabs>
        <w:rPr>
          <w:rFonts w:cs="Arial"/>
          <w:b w:val="0"/>
          <w:sz w:val="22"/>
          <w:szCs w:val="22"/>
        </w:rPr>
      </w:pPr>
      <w:r w:rsidRPr="00463430">
        <w:rPr>
          <w:rFonts w:cs="Arial"/>
          <w:b w:val="0"/>
          <w:sz w:val="22"/>
          <w:szCs w:val="22"/>
        </w:rPr>
        <w:t xml:space="preserve">malý zájem zaměstnavatelů rozvíjet výrobní činnost v horské části regionu </w:t>
      </w:r>
    </w:p>
    <w:p w:rsidR="00A64035" w:rsidRDefault="00A64035" w:rsidP="00A64035">
      <w:pPr>
        <w:rPr>
          <w:rFonts w:cs="Arial"/>
          <w:sz w:val="22"/>
          <w:szCs w:val="22"/>
          <w:lang w:eastAsia="x-none"/>
        </w:rPr>
      </w:pPr>
    </w:p>
    <w:p w:rsidR="00A64035" w:rsidRDefault="00A64035" w:rsidP="00557F1F">
      <w:pPr>
        <w:pStyle w:val="Nadpis2"/>
        <w:numPr>
          <w:ilvl w:val="1"/>
          <w:numId w:val="3"/>
        </w:numPr>
      </w:pPr>
      <w:r>
        <w:t>CIZINCI NA TRHU PRÁCE</w:t>
      </w:r>
    </w:p>
    <w:p w:rsidR="00A64035" w:rsidRPr="00696747" w:rsidRDefault="00A64035" w:rsidP="00A64035"/>
    <w:p w:rsidR="00A64035" w:rsidRPr="00696747" w:rsidRDefault="00A64035" w:rsidP="00A64035">
      <w:pPr>
        <w:rPr>
          <w:rFonts w:cs="Arial"/>
          <w:snapToGrid w:val="0"/>
          <w:sz w:val="22"/>
          <w:szCs w:val="22"/>
        </w:rPr>
      </w:pPr>
      <w:r w:rsidRPr="00696747">
        <w:rPr>
          <w:rFonts w:cs="Arial"/>
          <w:snapToGrid w:val="0"/>
          <w:sz w:val="22"/>
          <w:szCs w:val="22"/>
        </w:rPr>
        <w:t xml:space="preserve">Rozhodnutí o povolení zaměstnání cizích státních příslušníků vydaná úřadem práce mají časově omezenou platnost maximálně na dobu jednoho roku, a to pro profese nedostatkové či vysoce odborné. Vydaná povolení k zaměstnání nebo opakovaně vydaná povolení </w:t>
      </w:r>
      <w:r>
        <w:rPr>
          <w:rFonts w:cs="Arial"/>
          <w:snapToGrid w:val="0"/>
          <w:sz w:val="22"/>
          <w:szCs w:val="22"/>
        </w:rPr>
        <w:br/>
      </w:r>
      <w:r w:rsidRPr="00696747">
        <w:rPr>
          <w:rFonts w:cs="Arial"/>
          <w:snapToGrid w:val="0"/>
          <w:sz w:val="22"/>
          <w:szCs w:val="22"/>
        </w:rPr>
        <w:t xml:space="preserve">k zaměstnání byla udělena v souladu se zákonem č.435/2004 Sb., o zaměstnanosti, </w:t>
      </w:r>
      <w:r>
        <w:rPr>
          <w:rFonts w:cs="Arial"/>
          <w:snapToGrid w:val="0"/>
          <w:sz w:val="22"/>
          <w:szCs w:val="22"/>
        </w:rPr>
        <w:br/>
      </w:r>
      <w:r w:rsidRPr="00696747">
        <w:rPr>
          <w:rFonts w:cs="Arial"/>
          <w:snapToGrid w:val="0"/>
          <w:sz w:val="22"/>
          <w:szCs w:val="22"/>
        </w:rPr>
        <w:t xml:space="preserve">na základě zhodnocení nabídky a poptávky na trhu práce v okrese Chomutov, zejména s ohledem na uplatnění uchazečů o zaměstnání v evidenci úřadu práce. V meziročním srovnání došlo k výraznému snížení počtu cizích státních příslušníků, kteří mají vydaná platná povolení k zaměstnání o 92 z 222 (k </w:t>
      </w:r>
      <w:proofErr w:type="gramStart"/>
      <w:r w:rsidRPr="00696747">
        <w:rPr>
          <w:rFonts w:cs="Arial"/>
          <w:snapToGrid w:val="0"/>
          <w:sz w:val="22"/>
          <w:szCs w:val="22"/>
        </w:rPr>
        <w:t>31.12.2010</w:t>
      </w:r>
      <w:proofErr w:type="gramEnd"/>
      <w:r w:rsidRPr="00696747">
        <w:rPr>
          <w:rFonts w:cs="Arial"/>
          <w:snapToGrid w:val="0"/>
          <w:sz w:val="22"/>
          <w:szCs w:val="22"/>
        </w:rPr>
        <w:t xml:space="preserve">) na 130 (k 31.12.2011), </w:t>
      </w:r>
      <w:r>
        <w:rPr>
          <w:rFonts w:cs="Arial"/>
          <w:snapToGrid w:val="0"/>
          <w:sz w:val="22"/>
          <w:szCs w:val="22"/>
        </w:rPr>
        <w:br/>
      </w:r>
      <w:r w:rsidRPr="00696747">
        <w:rPr>
          <w:rFonts w:cs="Arial"/>
          <w:snapToGrid w:val="0"/>
          <w:sz w:val="22"/>
          <w:szCs w:val="22"/>
        </w:rPr>
        <w:t xml:space="preserve">co představuje úbytek o 41,4 </w:t>
      </w:r>
      <w:r w:rsidRPr="00696747">
        <w:rPr>
          <w:rFonts w:cs="Arial"/>
          <w:snapToGrid w:val="0"/>
          <w:sz w:val="22"/>
          <w:szCs w:val="22"/>
          <w:lang w:val="en-US"/>
        </w:rPr>
        <w:t>%</w:t>
      </w:r>
      <w:r w:rsidRPr="00696747">
        <w:rPr>
          <w:rFonts w:cs="Arial"/>
          <w:snapToGrid w:val="0"/>
          <w:sz w:val="22"/>
          <w:szCs w:val="22"/>
        </w:rPr>
        <w:t xml:space="preserve">. Vlivem přijatých opatření MPSV, byla omezena poptávka zahraniční pracovní síly u zaměstnavatelů a tím i snížen počet vydaných pracovních povolení cizincům. </w:t>
      </w:r>
    </w:p>
    <w:p w:rsidR="00A64035" w:rsidRPr="00696747" w:rsidRDefault="00A64035" w:rsidP="00A64035">
      <w:pPr>
        <w:rPr>
          <w:rFonts w:cs="Arial"/>
          <w:snapToGrid w:val="0"/>
          <w:sz w:val="22"/>
          <w:szCs w:val="22"/>
        </w:rPr>
      </w:pPr>
    </w:p>
    <w:p w:rsidR="00A64035" w:rsidRPr="00696747" w:rsidRDefault="00A64035" w:rsidP="00A64035">
      <w:pPr>
        <w:rPr>
          <w:rFonts w:cs="Arial"/>
          <w:b/>
          <w:sz w:val="22"/>
          <w:szCs w:val="22"/>
        </w:rPr>
      </w:pPr>
      <w:r w:rsidRPr="00696747">
        <w:rPr>
          <w:rFonts w:cs="Arial"/>
          <w:snapToGrid w:val="0"/>
          <w:sz w:val="22"/>
          <w:szCs w:val="22"/>
        </w:rPr>
        <w:t>Přehled nejčastěji zastoupených zemí:</w:t>
      </w:r>
      <w:r w:rsidRPr="00696747">
        <w:rPr>
          <w:rFonts w:cs="Arial"/>
          <w:b/>
          <w:bCs/>
          <w:sz w:val="22"/>
          <w:szCs w:val="22"/>
        </w:rPr>
        <w:t xml:space="preserve"> </w:t>
      </w:r>
    </w:p>
    <w:tbl>
      <w:tblPr>
        <w:tblW w:w="6341" w:type="dxa"/>
        <w:jc w:val="center"/>
        <w:tblInd w:w="-414" w:type="dxa"/>
        <w:tblCellMar>
          <w:left w:w="70" w:type="dxa"/>
          <w:right w:w="70" w:type="dxa"/>
        </w:tblCellMar>
        <w:tblLook w:val="04A0" w:firstRow="1" w:lastRow="0" w:firstColumn="1" w:lastColumn="0" w:noHBand="0" w:noVBand="1"/>
      </w:tblPr>
      <w:tblGrid>
        <w:gridCol w:w="2501"/>
        <w:gridCol w:w="926"/>
        <w:gridCol w:w="994"/>
        <w:gridCol w:w="926"/>
        <w:gridCol w:w="994"/>
      </w:tblGrid>
      <w:tr w:rsidR="00A64035" w:rsidRPr="00696747" w:rsidTr="0075074A">
        <w:trPr>
          <w:trHeight w:val="315"/>
          <w:jc w:val="center"/>
        </w:trPr>
        <w:tc>
          <w:tcPr>
            <w:tcW w:w="2501" w:type="dxa"/>
            <w:vMerge w:val="restart"/>
            <w:tcBorders>
              <w:top w:val="double" w:sz="6" w:space="0" w:color="auto"/>
              <w:left w:val="double" w:sz="6" w:space="0" w:color="auto"/>
              <w:bottom w:val="single" w:sz="4" w:space="0" w:color="auto"/>
              <w:right w:val="single" w:sz="4" w:space="0" w:color="auto"/>
            </w:tcBorders>
            <w:noWrap/>
            <w:vAlign w:val="center"/>
            <w:hideMark/>
          </w:tcPr>
          <w:p w:rsidR="00A64035" w:rsidRPr="00696747" w:rsidRDefault="00A64035" w:rsidP="0075074A">
            <w:pPr>
              <w:rPr>
                <w:rFonts w:cs="Arial"/>
                <w:b/>
                <w:bCs/>
                <w:color w:val="000000"/>
                <w:sz w:val="22"/>
                <w:szCs w:val="22"/>
              </w:rPr>
            </w:pPr>
            <w:r w:rsidRPr="00696747">
              <w:rPr>
                <w:rFonts w:cs="Arial"/>
                <w:b/>
                <w:bCs/>
                <w:color w:val="000000"/>
                <w:sz w:val="22"/>
                <w:szCs w:val="22"/>
              </w:rPr>
              <w:t>země</w:t>
            </w:r>
          </w:p>
        </w:tc>
        <w:tc>
          <w:tcPr>
            <w:tcW w:w="1920" w:type="dxa"/>
            <w:gridSpan w:val="2"/>
            <w:tcBorders>
              <w:top w:val="double" w:sz="6" w:space="0" w:color="auto"/>
              <w:left w:val="nil"/>
              <w:bottom w:val="single" w:sz="4" w:space="0" w:color="auto"/>
              <w:right w:val="single" w:sz="4" w:space="0" w:color="auto"/>
            </w:tcBorders>
            <w:noWrap/>
            <w:vAlign w:val="bottom"/>
            <w:hideMark/>
          </w:tcPr>
          <w:p w:rsidR="00A64035" w:rsidRPr="00696747" w:rsidRDefault="00A64035" w:rsidP="0075074A">
            <w:pPr>
              <w:rPr>
                <w:rFonts w:cs="Arial"/>
                <w:b/>
                <w:bCs/>
                <w:color w:val="000000"/>
                <w:sz w:val="22"/>
                <w:szCs w:val="22"/>
              </w:rPr>
            </w:pPr>
            <w:r w:rsidRPr="00696747">
              <w:rPr>
                <w:rFonts w:cs="Arial"/>
                <w:b/>
                <w:bCs/>
                <w:color w:val="000000"/>
                <w:sz w:val="22"/>
                <w:szCs w:val="22"/>
              </w:rPr>
              <w:t>rok 2010</w:t>
            </w:r>
          </w:p>
        </w:tc>
        <w:tc>
          <w:tcPr>
            <w:tcW w:w="1920" w:type="dxa"/>
            <w:gridSpan w:val="2"/>
            <w:tcBorders>
              <w:top w:val="double" w:sz="6" w:space="0" w:color="auto"/>
              <w:left w:val="nil"/>
              <w:bottom w:val="single" w:sz="4" w:space="0" w:color="auto"/>
              <w:right w:val="double" w:sz="6" w:space="0" w:color="000000"/>
            </w:tcBorders>
            <w:noWrap/>
            <w:vAlign w:val="bottom"/>
            <w:hideMark/>
          </w:tcPr>
          <w:p w:rsidR="00A64035" w:rsidRPr="00696747" w:rsidRDefault="00A64035" w:rsidP="0075074A">
            <w:pPr>
              <w:rPr>
                <w:rFonts w:cs="Arial"/>
                <w:b/>
                <w:bCs/>
                <w:color w:val="000000"/>
                <w:sz w:val="22"/>
                <w:szCs w:val="22"/>
              </w:rPr>
            </w:pPr>
            <w:r w:rsidRPr="00696747">
              <w:rPr>
                <w:rFonts w:cs="Arial"/>
                <w:b/>
                <w:bCs/>
                <w:color w:val="000000"/>
                <w:sz w:val="22"/>
                <w:szCs w:val="22"/>
              </w:rPr>
              <w:t>rok 2011</w:t>
            </w:r>
          </w:p>
        </w:tc>
      </w:tr>
      <w:tr w:rsidR="00A64035" w:rsidRPr="00696747" w:rsidTr="0075074A">
        <w:trPr>
          <w:trHeight w:val="300"/>
          <w:jc w:val="center"/>
        </w:trPr>
        <w:tc>
          <w:tcPr>
            <w:tcW w:w="2501" w:type="dxa"/>
            <w:vMerge/>
            <w:tcBorders>
              <w:top w:val="double" w:sz="6" w:space="0" w:color="auto"/>
              <w:left w:val="double" w:sz="6" w:space="0" w:color="auto"/>
              <w:bottom w:val="single" w:sz="4" w:space="0" w:color="auto"/>
              <w:right w:val="single" w:sz="4" w:space="0" w:color="auto"/>
            </w:tcBorders>
            <w:vAlign w:val="center"/>
            <w:hideMark/>
          </w:tcPr>
          <w:p w:rsidR="00A64035" w:rsidRPr="00696747" w:rsidRDefault="00A64035" w:rsidP="0075074A">
            <w:pPr>
              <w:rPr>
                <w:rFonts w:cs="Arial"/>
                <w:b/>
                <w:bCs/>
                <w:color w:val="000000"/>
                <w:sz w:val="22"/>
                <w:szCs w:val="22"/>
              </w:rPr>
            </w:pP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počet</w:t>
            </w:r>
          </w:p>
        </w:tc>
        <w:tc>
          <w:tcPr>
            <w:tcW w:w="994"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podíl</w:t>
            </w: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počet</w:t>
            </w:r>
          </w:p>
        </w:tc>
        <w:tc>
          <w:tcPr>
            <w:tcW w:w="994" w:type="dxa"/>
            <w:tcBorders>
              <w:top w:val="nil"/>
              <w:left w:val="nil"/>
              <w:bottom w:val="single" w:sz="4" w:space="0" w:color="auto"/>
              <w:right w:val="double" w:sz="6"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podíl</w:t>
            </w:r>
          </w:p>
        </w:tc>
      </w:tr>
      <w:tr w:rsidR="00A64035" w:rsidRPr="00696747" w:rsidTr="0075074A">
        <w:trPr>
          <w:trHeight w:val="300"/>
          <w:jc w:val="center"/>
        </w:trPr>
        <w:tc>
          <w:tcPr>
            <w:tcW w:w="2501" w:type="dxa"/>
            <w:tcBorders>
              <w:top w:val="nil"/>
              <w:left w:val="double" w:sz="6" w:space="0" w:color="auto"/>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Ukrajina</w:t>
            </w: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121</w:t>
            </w:r>
          </w:p>
        </w:tc>
        <w:tc>
          <w:tcPr>
            <w:tcW w:w="994"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54,5%</w:t>
            </w: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75</w:t>
            </w:r>
          </w:p>
        </w:tc>
        <w:tc>
          <w:tcPr>
            <w:tcW w:w="994" w:type="dxa"/>
            <w:tcBorders>
              <w:top w:val="nil"/>
              <w:left w:val="nil"/>
              <w:bottom w:val="single" w:sz="4" w:space="0" w:color="auto"/>
              <w:right w:val="double" w:sz="6"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57,7%</w:t>
            </w:r>
          </w:p>
        </w:tc>
      </w:tr>
      <w:tr w:rsidR="00A64035" w:rsidRPr="00696747" w:rsidTr="0075074A">
        <w:trPr>
          <w:trHeight w:val="300"/>
          <w:jc w:val="center"/>
        </w:trPr>
        <w:tc>
          <w:tcPr>
            <w:tcW w:w="2501" w:type="dxa"/>
            <w:tcBorders>
              <w:top w:val="nil"/>
              <w:left w:val="double" w:sz="6" w:space="0" w:color="auto"/>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Bosna a Hercegovina</w:t>
            </w: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33</w:t>
            </w:r>
          </w:p>
        </w:tc>
        <w:tc>
          <w:tcPr>
            <w:tcW w:w="994"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14,9%</w:t>
            </w: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0</w:t>
            </w:r>
          </w:p>
        </w:tc>
        <w:tc>
          <w:tcPr>
            <w:tcW w:w="994" w:type="dxa"/>
            <w:tcBorders>
              <w:top w:val="nil"/>
              <w:left w:val="nil"/>
              <w:bottom w:val="single" w:sz="4" w:space="0" w:color="auto"/>
              <w:right w:val="double" w:sz="6"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0,0%</w:t>
            </w:r>
          </w:p>
        </w:tc>
      </w:tr>
      <w:tr w:rsidR="00A64035" w:rsidRPr="00696747" w:rsidTr="0075074A">
        <w:trPr>
          <w:trHeight w:val="300"/>
          <w:jc w:val="center"/>
        </w:trPr>
        <w:tc>
          <w:tcPr>
            <w:tcW w:w="2501" w:type="dxa"/>
            <w:tcBorders>
              <w:top w:val="nil"/>
              <w:left w:val="double" w:sz="6" w:space="0" w:color="auto"/>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Mongolsko</w:t>
            </w: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25</w:t>
            </w:r>
          </w:p>
        </w:tc>
        <w:tc>
          <w:tcPr>
            <w:tcW w:w="994"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11,3%</w:t>
            </w: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16</w:t>
            </w:r>
          </w:p>
        </w:tc>
        <w:tc>
          <w:tcPr>
            <w:tcW w:w="994" w:type="dxa"/>
            <w:tcBorders>
              <w:top w:val="nil"/>
              <w:left w:val="nil"/>
              <w:bottom w:val="single" w:sz="4" w:space="0" w:color="auto"/>
              <w:right w:val="double" w:sz="6"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12,3%</w:t>
            </w:r>
          </w:p>
        </w:tc>
      </w:tr>
      <w:tr w:rsidR="00A64035" w:rsidRPr="00696747" w:rsidTr="0075074A">
        <w:trPr>
          <w:trHeight w:val="300"/>
          <w:jc w:val="center"/>
        </w:trPr>
        <w:tc>
          <w:tcPr>
            <w:tcW w:w="2501" w:type="dxa"/>
            <w:tcBorders>
              <w:top w:val="nil"/>
              <w:left w:val="double" w:sz="6" w:space="0" w:color="auto"/>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Japonsko</w:t>
            </w: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19</w:t>
            </w:r>
          </w:p>
        </w:tc>
        <w:tc>
          <w:tcPr>
            <w:tcW w:w="994"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8,6%</w:t>
            </w:r>
          </w:p>
        </w:tc>
        <w:tc>
          <w:tcPr>
            <w:tcW w:w="926" w:type="dxa"/>
            <w:tcBorders>
              <w:top w:val="nil"/>
              <w:left w:val="nil"/>
              <w:bottom w:val="single" w:sz="4"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20</w:t>
            </w:r>
          </w:p>
        </w:tc>
        <w:tc>
          <w:tcPr>
            <w:tcW w:w="994" w:type="dxa"/>
            <w:tcBorders>
              <w:top w:val="nil"/>
              <w:left w:val="nil"/>
              <w:bottom w:val="single" w:sz="4" w:space="0" w:color="auto"/>
              <w:right w:val="double" w:sz="6"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15,4%</w:t>
            </w:r>
          </w:p>
        </w:tc>
      </w:tr>
      <w:tr w:rsidR="00A64035" w:rsidRPr="00696747" w:rsidTr="0075074A">
        <w:trPr>
          <w:trHeight w:val="315"/>
          <w:jc w:val="center"/>
        </w:trPr>
        <w:tc>
          <w:tcPr>
            <w:tcW w:w="2501" w:type="dxa"/>
            <w:tcBorders>
              <w:top w:val="nil"/>
              <w:left w:val="double" w:sz="6" w:space="0" w:color="auto"/>
              <w:bottom w:val="double" w:sz="6"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Rusko</w:t>
            </w:r>
          </w:p>
        </w:tc>
        <w:tc>
          <w:tcPr>
            <w:tcW w:w="926" w:type="dxa"/>
            <w:tcBorders>
              <w:top w:val="nil"/>
              <w:left w:val="nil"/>
              <w:bottom w:val="double" w:sz="6"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8</w:t>
            </w:r>
          </w:p>
        </w:tc>
        <w:tc>
          <w:tcPr>
            <w:tcW w:w="994" w:type="dxa"/>
            <w:tcBorders>
              <w:top w:val="nil"/>
              <w:left w:val="nil"/>
              <w:bottom w:val="double" w:sz="6"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3,6%</w:t>
            </w:r>
          </w:p>
        </w:tc>
        <w:tc>
          <w:tcPr>
            <w:tcW w:w="926" w:type="dxa"/>
            <w:tcBorders>
              <w:top w:val="nil"/>
              <w:left w:val="nil"/>
              <w:bottom w:val="double" w:sz="6" w:space="0" w:color="auto"/>
              <w:right w:val="single" w:sz="4"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9</w:t>
            </w:r>
          </w:p>
        </w:tc>
        <w:tc>
          <w:tcPr>
            <w:tcW w:w="994" w:type="dxa"/>
            <w:tcBorders>
              <w:top w:val="nil"/>
              <w:left w:val="nil"/>
              <w:bottom w:val="double" w:sz="6" w:space="0" w:color="auto"/>
              <w:right w:val="double" w:sz="6" w:space="0" w:color="auto"/>
            </w:tcBorders>
            <w:noWrap/>
            <w:vAlign w:val="bottom"/>
            <w:hideMark/>
          </w:tcPr>
          <w:p w:rsidR="00A64035" w:rsidRPr="00696747" w:rsidRDefault="00A64035" w:rsidP="0075074A">
            <w:pPr>
              <w:rPr>
                <w:rFonts w:cs="Arial"/>
                <w:color w:val="000000"/>
                <w:sz w:val="22"/>
                <w:szCs w:val="22"/>
              </w:rPr>
            </w:pPr>
            <w:r w:rsidRPr="00696747">
              <w:rPr>
                <w:rFonts w:cs="Arial"/>
                <w:color w:val="000000"/>
                <w:sz w:val="22"/>
                <w:szCs w:val="22"/>
              </w:rPr>
              <w:t>6,9%</w:t>
            </w:r>
          </w:p>
        </w:tc>
      </w:tr>
    </w:tbl>
    <w:p w:rsidR="00A64035" w:rsidRPr="00696747" w:rsidRDefault="00A64035" w:rsidP="00A64035">
      <w:pPr>
        <w:pStyle w:val="Zkladntext"/>
        <w:rPr>
          <w:rFonts w:cs="Arial"/>
          <w:b w:val="0"/>
          <w:sz w:val="22"/>
          <w:szCs w:val="22"/>
        </w:rPr>
      </w:pPr>
    </w:p>
    <w:p w:rsidR="00A64035" w:rsidRPr="00696747" w:rsidRDefault="00A64035" w:rsidP="00A64035">
      <w:pPr>
        <w:rPr>
          <w:rFonts w:cs="Arial"/>
          <w:sz w:val="22"/>
          <w:szCs w:val="22"/>
        </w:rPr>
      </w:pPr>
      <w:r w:rsidRPr="00696747">
        <w:rPr>
          <w:rFonts w:cs="Arial"/>
          <w:sz w:val="22"/>
          <w:szCs w:val="22"/>
        </w:rPr>
        <w:t>Přestože míra nezaměstnanosti v okrese Chomutov k </w:t>
      </w:r>
      <w:proofErr w:type="gramStart"/>
      <w:r w:rsidRPr="00696747">
        <w:rPr>
          <w:rFonts w:cs="Arial"/>
          <w:sz w:val="22"/>
          <w:szCs w:val="22"/>
        </w:rPr>
        <w:t>31.12.2011</w:t>
      </w:r>
      <w:proofErr w:type="gramEnd"/>
      <w:r w:rsidRPr="00696747">
        <w:rPr>
          <w:rFonts w:cs="Arial"/>
          <w:sz w:val="22"/>
          <w:szCs w:val="22"/>
        </w:rPr>
        <w:t xml:space="preserve"> (13,2 %) je výrazně vyšší než průměr v ČR (8,6 </w:t>
      </w:r>
      <w:r w:rsidRPr="00696747">
        <w:rPr>
          <w:rFonts w:cs="Arial"/>
          <w:sz w:val="22"/>
          <w:szCs w:val="22"/>
          <w:lang w:val="en-US"/>
        </w:rPr>
        <w:t>%</w:t>
      </w:r>
      <w:r w:rsidRPr="00696747">
        <w:rPr>
          <w:rFonts w:cs="Arial"/>
          <w:sz w:val="22"/>
          <w:szCs w:val="22"/>
        </w:rPr>
        <w:t xml:space="preserve">), je obtížné získat na určitá pracovní místa zaměstnance </w:t>
      </w:r>
      <w:r>
        <w:rPr>
          <w:rFonts w:cs="Arial"/>
          <w:sz w:val="22"/>
          <w:szCs w:val="22"/>
        </w:rPr>
        <w:br/>
      </w:r>
      <w:r w:rsidRPr="00696747">
        <w:rPr>
          <w:rFonts w:cs="Arial"/>
          <w:sz w:val="22"/>
          <w:szCs w:val="22"/>
        </w:rPr>
        <w:t xml:space="preserve">s potřebnou kvalifikací. </w:t>
      </w:r>
      <w:r w:rsidRPr="00696747">
        <w:rPr>
          <w:rFonts w:cs="Arial"/>
          <w:snapToGrid w:val="0"/>
          <w:sz w:val="22"/>
          <w:szCs w:val="22"/>
        </w:rPr>
        <w:t xml:space="preserve">Legální zaměstnávání cizinců se proto jeví jako účelné z důvodu pružné reakce na neodpovídající kvalifikační strukturu uchazečů o zaměstnání, </w:t>
      </w:r>
      <w:r>
        <w:rPr>
          <w:rFonts w:cs="Arial"/>
          <w:snapToGrid w:val="0"/>
          <w:sz w:val="22"/>
          <w:szCs w:val="22"/>
        </w:rPr>
        <w:br/>
      </w:r>
      <w:r w:rsidRPr="00696747">
        <w:rPr>
          <w:rFonts w:cs="Arial"/>
          <w:snapToGrid w:val="0"/>
          <w:sz w:val="22"/>
          <w:szCs w:val="22"/>
        </w:rPr>
        <w:t xml:space="preserve">kdy regulované zaměstnávání cizinců úřadem práce nevytváří konkurenční prostředí </w:t>
      </w:r>
      <w:r>
        <w:rPr>
          <w:rFonts w:cs="Arial"/>
          <w:snapToGrid w:val="0"/>
          <w:sz w:val="22"/>
          <w:szCs w:val="22"/>
        </w:rPr>
        <w:br/>
      </w:r>
      <w:r w:rsidRPr="00696747">
        <w:rPr>
          <w:rFonts w:cs="Arial"/>
          <w:snapToGrid w:val="0"/>
          <w:sz w:val="22"/>
          <w:szCs w:val="22"/>
        </w:rPr>
        <w:t>na regionálním trhu práce.</w:t>
      </w:r>
    </w:p>
    <w:p w:rsidR="00A64035" w:rsidRDefault="00A64035" w:rsidP="00A64035">
      <w:pPr>
        <w:pStyle w:val="Zkladntext"/>
        <w:rPr>
          <w:rFonts w:ascii="Calibri" w:hAnsi="Calibri" w:cs="Calibri"/>
          <w:b w:val="0"/>
          <w:sz w:val="22"/>
          <w:szCs w:val="22"/>
        </w:rPr>
      </w:pPr>
    </w:p>
    <w:p w:rsidR="00A64035" w:rsidRDefault="00A64035" w:rsidP="00557F1F">
      <w:pPr>
        <w:pStyle w:val="Nadpis2"/>
        <w:numPr>
          <w:ilvl w:val="1"/>
          <w:numId w:val="3"/>
        </w:numPr>
      </w:pPr>
      <w:r>
        <w:t>AKTIVNÍ POLITIKA ZAMĚSTNANOSTI</w:t>
      </w:r>
    </w:p>
    <w:p w:rsidR="00A64035" w:rsidRDefault="00A64035" w:rsidP="0075074A">
      <w:pPr>
        <w:pStyle w:val="Nadpis3"/>
      </w:pPr>
      <w:r>
        <w:t>Rekvalifikace</w:t>
      </w:r>
    </w:p>
    <w:p w:rsidR="00A64035" w:rsidRPr="007D49C6" w:rsidRDefault="00A64035" w:rsidP="00A64035">
      <w:pPr>
        <w:rPr>
          <w:rFonts w:cs="Arial"/>
          <w:sz w:val="22"/>
          <w:szCs w:val="22"/>
          <w:lang w:eastAsia="x-none"/>
        </w:rPr>
      </w:pPr>
    </w:p>
    <w:p w:rsidR="00A64035" w:rsidRPr="007D49C6" w:rsidRDefault="00A64035" w:rsidP="00557F1F">
      <w:pPr>
        <w:numPr>
          <w:ilvl w:val="0"/>
          <w:numId w:val="19"/>
        </w:numPr>
        <w:rPr>
          <w:rFonts w:cs="Arial"/>
          <w:sz w:val="22"/>
          <w:szCs w:val="22"/>
        </w:rPr>
      </w:pPr>
      <w:r w:rsidRPr="007D49C6">
        <w:rPr>
          <w:rFonts w:cs="Arial"/>
          <w:sz w:val="22"/>
          <w:szCs w:val="22"/>
        </w:rPr>
        <w:t xml:space="preserve">Počet druhů rekvalifikací za rok 2011: cca 33 druhů (hrazeno z peněz projektů ESF </w:t>
      </w:r>
      <w:r>
        <w:rPr>
          <w:rFonts w:cs="Arial"/>
          <w:sz w:val="22"/>
          <w:szCs w:val="22"/>
        </w:rPr>
        <w:br/>
      </w:r>
      <w:r w:rsidRPr="007D49C6">
        <w:rPr>
          <w:rFonts w:cs="Arial"/>
          <w:sz w:val="22"/>
          <w:szCs w:val="22"/>
        </w:rPr>
        <w:t>i národních peněz)</w:t>
      </w:r>
    </w:p>
    <w:p w:rsidR="00A64035" w:rsidRPr="007D49C6" w:rsidRDefault="00A64035" w:rsidP="00A64035">
      <w:pPr>
        <w:ind w:left="720"/>
        <w:rPr>
          <w:rFonts w:cs="Arial"/>
          <w:sz w:val="22"/>
          <w:szCs w:val="22"/>
        </w:rPr>
      </w:pPr>
    </w:p>
    <w:p w:rsidR="00A64035" w:rsidRPr="007D49C6" w:rsidRDefault="00A64035" w:rsidP="00557F1F">
      <w:pPr>
        <w:numPr>
          <w:ilvl w:val="0"/>
          <w:numId w:val="19"/>
        </w:numPr>
        <w:rPr>
          <w:rFonts w:cs="Arial"/>
          <w:sz w:val="22"/>
          <w:szCs w:val="22"/>
        </w:rPr>
      </w:pPr>
      <w:r w:rsidRPr="007D49C6">
        <w:rPr>
          <w:rFonts w:cs="Arial"/>
          <w:sz w:val="22"/>
          <w:szCs w:val="22"/>
        </w:rPr>
        <w:t>Nejčastěji využívané rekvalifikace v průběhu roku 2011:</w:t>
      </w:r>
    </w:p>
    <w:p w:rsidR="00A64035" w:rsidRPr="007D49C6" w:rsidRDefault="00A64035" w:rsidP="00557F1F">
      <w:pPr>
        <w:numPr>
          <w:ilvl w:val="0"/>
          <w:numId w:val="21"/>
        </w:numPr>
        <w:ind w:left="1097"/>
        <w:rPr>
          <w:rFonts w:cs="Arial"/>
          <w:sz w:val="22"/>
          <w:szCs w:val="22"/>
        </w:rPr>
      </w:pPr>
      <w:r w:rsidRPr="007D49C6">
        <w:rPr>
          <w:rFonts w:cs="Arial"/>
          <w:sz w:val="22"/>
          <w:szCs w:val="22"/>
        </w:rPr>
        <w:t>základy PC, dle ECDL, pokročilí PC</w:t>
      </w:r>
    </w:p>
    <w:p w:rsidR="00A64035" w:rsidRPr="007D49C6" w:rsidRDefault="00A64035" w:rsidP="00557F1F">
      <w:pPr>
        <w:numPr>
          <w:ilvl w:val="0"/>
          <w:numId w:val="21"/>
        </w:numPr>
        <w:ind w:left="1097"/>
        <w:rPr>
          <w:rFonts w:cs="Arial"/>
          <w:sz w:val="22"/>
          <w:szCs w:val="22"/>
        </w:rPr>
      </w:pPr>
      <w:r w:rsidRPr="007D49C6">
        <w:rPr>
          <w:rFonts w:cs="Arial"/>
          <w:sz w:val="22"/>
          <w:szCs w:val="22"/>
        </w:rPr>
        <w:t>svářecí oprávnění, základní i evropská norma</w:t>
      </w:r>
    </w:p>
    <w:p w:rsidR="00A64035" w:rsidRPr="007D49C6" w:rsidRDefault="00A64035" w:rsidP="00557F1F">
      <w:pPr>
        <w:numPr>
          <w:ilvl w:val="0"/>
          <w:numId w:val="21"/>
        </w:numPr>
        <w:ind w:left="1097"/>
        <w:rPr>
          <w:rFonts w:cs="Arial"/>
          <w:sz w:val="22"/>
          <w:szCs w:val="22"/>
        </w:rPr>
      </w:pPr>
      <w:r w:rsidRPr="007D49C6">
        <w:rPr>
          <w:rFonts w:cs="Arial"/>
          <w:sz w:val="22"/>
          <w:szCs w:val="22"/>
        </w:rPr>
        <w:t>obsluha motorové pily, křovinořezu, travní sekačky</w:t>
      </w:r>
    </w:p>
    <w:p w:rsidR="00A64035" w:rsidRPr="007D49C6" w:rsidRDefault="00A64035" w:rsidP="00557F1F">
      <w:pPr>
        <w:numPr>
          <w:ilvl w:val="0"/>
          <w:numId w:val="21"/>
        </w:numPr>
        <w:ind w:left="1097"/>
        <w:rPr>
          <w:rFonts w:cs="Arial"/>
          <w:sz w:val="22"/>
          <w:szCs w:val="22"/>
        </w:rPr>
      </w:pPr>
      <w:r w:rsidRPr="007D49C6">
        <w:rPr>
          <w:rFonts w:cs="Arial"/>
          <w:sz w:val="22"/>
          <w:szCs w:val="22"/>
        </w:rPr>
        <w:t>obnova ekonomických znalostí, účetnictví, administrativní pracovník</w:t>
      </w:r>
    </w:p>
    <w:p w:rsidR="00A64035" w:rsidRPr="007D49C6" w:rsidRDefault="00A64035" w:rsidP="00557F1F">
      <w:pPr>
        <w:numPr>
          <w:ilvl w:val="0"/>
          <w:numId w:val="21"/>
        </w:numPr>
        <w:ind w:left="1097"/>
        <w:rPr>
          <w:rFonts w:cs="Arial"/>
          <w:sz w:val="22"/>
          <w:szCs w:val="22"/>
        </w:rPr>
      </w:pPr>
      <w:r w:rsidRPr="007D49C6">
        <w:rPr>
          <w:rFonts w:cs="Arial"/>
          <w:sz w:val="22"/>
          <w:szCs w:val="22"/>
        </w:rPr>
        <w:t>řidičská oprávnění, profesní průkaz (jen regionální individuální projekty)</w:t>
      </w:r>
    </w:p>
    <w:p w:rsidR="00A64035" w:rsidRPr="007D49C6" w:rsidRDefault="00A64035" w:rsidP="00A64035">
      <w:pPr>
        <w:ind w:left="720"/>
        <w:rPr>
          <w:rFonts w:cs="Arial"/>
          <w:sz w:val="22"/>
          <w:szCs w:val="22"/>
        </w:rPr>
      </w:pPr>
    </w:p>
    <w:p w:rsidR="00A64035" w:rsidRPr="007D49C6" w:rsidRDefault="00A64035" w:rsidP="00557F1F">
      <w:pPr>
        <w:numPr>
          <w:ilvl w:val="0"/>
          <w:numId w:val="19"/>
        </w:numPr>
        <w:rPr>
          <w:rFonts w:cs="Arial"/>
          <w:sz w:val="22"/>
          <w:szCs w:val="22"/>
        </w:rPr>
      </w:pPr>
      <w:r w:rsidRPr="007D49C6">
        <w:rPr>
          <w:rFonts w:cs="Arial"/>
          <w:sz w:val="22"/>
          <w:szCs w:val="22"/>
        </w:rPr>
        <w:t>Nejvíce žádané rekvalifikace ze strany uchazečů v průběhu roku 2011:</w:t>
      </w:r>
    </w:p>
    <w:p w:rsidR="00A64035" w:rsidRPr="007D49C6" w:rsidRDefault="00A64035" w:rsidP="00557F1F">
      <w:pPr>
        <w:numPr>
          <w:ilvl w:val="0"/>
          <w:numId w:val="22"/>
        </w:numPr>
        <w:ind w:left="1097"/>
        <w:rPr>
          <w:rFonts w:eastAsia="Calibri" w:cs="Arial"/>
          <w:sz w:val="22"/>
          <w:szCs w:val="22"/>
        </w:rPr>
      </w:pPr>
      <w:r w:rsidRPr="007D49C6">
        <w:rPr>
          <w:rFonts w:cs="Arial"/>
          <w:sz w:val="22"/>
          <w:szCs w:val="22"/>
        </w:rPr>
        <w:t>základy PC</w:t>
      </w:r>
    </w:p>
    <w:p w:rsidR="00A64035" w:rsidRPr="007D49C6" w:rsidRDefault="00A64035" w:rsidP="00557F1F">
      <w:pPr>
        <w:numPr>
          <w:ilvl w:val="0"/>
          <w:numId w:val="22"/>
        </w:numPr>
        <w:ind w:left="1097"/>
        <w:rPr>
          <w:rFonts w:cs="Arial"/>
          <w:sz w:val="22"/>
          <w:szCs w:val="22"/>
        </w:rPr>
      </w:pPr>
      <w:r w:rsidRPr="007D49C6">
        <w:rPr>
          <w:rFonts w:cs="Arial"/>
          <w:sz w:val="22"/>
          <w:szCs w:val="22"/>
        </w:rPr>
        <w:t>účetnictví</w:t>
      </w:r>
    </w:p>
    <w:p w:rsidR="00A64035" w:rsidRPr="007D49C6" w:rsidRDefault="00A64035" w:rsidP="00557F1F">
      <w:pPr>
        <w:numPr>
          <w:ilvl w:val="0"/>
          <w:numId w:val="22"/>
        </w:numPr>
        <w:ind w:left="1097"/>
        <w:rPr>
          <w:rFonts w:cs="Arial"/>
          <w:sz w:val="22"/>
          <w:szCs w:val="22"/>
        </w:rPr>
      </w:pPr>
      <w:r w:rsidRPr="007D49C6">
        <w:rPr>
          <w:rFonts w:cs="Arial"/>
          <w:sz w:val="22"/>
          <w:szCs w:val="22"/>
        </w:rPr>
        <w:t xml:space="preserve">manikúra, nehtová </w:t>
      </w:r>
      <w:proofErr w:type="spellStart"/>
      <w:r w:rsidRPr="007D49C6">
        <w:rPr>
          <w:rFonts w:cs="Arial"/>
          <w:sz w:val="22"/>
          <w:szCs w:val="22"/>
        </w:rPr>
        <w:t>modeláž</w:t>
      </w:r>
      <w:proofErr w:type="spellEnd"/>
      <w:r w:rsidRPr="007D49C6">
        <w:rPr>
          <w:rFonts w:cs="Arial"/>
          <w:sz w:val="22"/>
          <w:szCs w:val="22"/>
        </w:rPr>
        <w:t>, kadeřnice</w:t>
      </w:r>
    </w:p>
    <w:p w:rsidR="00A64035" w:rsidRPr="007D49C6" w:rsidRDefault="00A64035" w:rsidP="00557F1F">
      <w:pPr>
        <w:numPr>
          <w:ilvl w:val="0"/>
          <w:numId w:val="22"/>
        </w:numPr>
        <w:ind w:left="1097"/>
        <w:rPr>
          <w:rFonts w:cs="Arial"/>
          <w:sz w:val="22"/>
          <w:szCs w:val="22"/>
        </w:rPr>
      </w:pPr>
      <w:r w:rsidRPr="007D49C6">
        <w:rPr>
          <w:rFonts w:cs="Arial"/>
          <w:sz w:val="22"/>
          <w:szCs w:val="22"/>
        </w:rPr>
        <w:t>svářecí oprávnění</w:t>
      </w:r>
    </w:p>
    <w:p w:rsidR="00A64035" w:rsidRPr="007D49C6" w:rsidRDefault="00A64035" w:rsidP="00557F1F">
      <w:pPr>
        <w:numPr>
          <w:ilvl w:val="0"/>
          <w:numId w:val="22"/>
        </w:numPr>
        <w:ind w:left="1097"/>
        <w:rPr>
          <w:rFonts w:cs="Arial"/>
          <w:sz w:val="22"/>
          <w:szCs w:val="22"/>
        </w:rPr>
      </w:pPr>
      <w:r w:rsidRPr="007D49C6">
        <w:rPr>
          <w:rFonts w:cs="Arial"/>
          <w:sz w:val="22"/>
          <w:szCs w:val="22"/>
        </w:rPr>
        <w:t>řidičská oprávnění, profesní průkazy</w:t>
      </w:r>
    </w:p>
    <w:p w:rsidR="00A64035" w:rsidRPr="007D49C6" w:rsidRDefault="00A64035" w:rsidP="00A64035">
      <w:pPr>
        <w:ind w:left="1080"/>
        <w:rPr>
          <w:rFonts w:cs="Arial"/>
          <w:sz w:val="22"/>
          <w:szCs w:val="22"/>
        </w:rPr>
      </w:pPr>
    </w:p>
    <w:p w:rsidR="00A64035" w:rsidRPr="007D49C6" w:rsidRDefault="00A64035" w:rsidP="00557F1F">
      <w:pPr>
        <w:numPr>
          <w:ilvl w:val="0"/>
          <w:numId w:val="19"/>
        </w:numPr>
        <w:rPr>
          <w:rFonts w:cs="Arial"/>
          <w:sz w:val="22"/>
          <w:szCs w:val="22"/>
        </w:rPr>
      </w:pPr>
      <w:r w:rsidRPr="007D49C6">
        <w:rPr>
          <w:rFonts w:cs="Arial"/>
          <w:sz w:val="22"/>
          <w:szCs w:val="22"/>
        </w:rPr>
        <w:t>Nejvíce využívaná vzdělávací zařízení v průběhu roku 2011:</w:t>
      </w:r>
    </w:p>
    <w:p w:rsidR="00A64035" w:rsidRPr="007D49C6" w:rsidRDefault="00A64035" w:rsidP="00A64035">
      <w:pPr>
        <w:ind w:left="720"/>
        <w:rPr>
          <w:rFonts w:cs="Arial"/>
          <w:sz w:val="22"/>
          <w:szCs w:val="22"/>
        </w:rPr>
      </w:pPr>
    </w:p>
    <w:p w:rsidR="00A64035" w:rsidRPr="007D49C6" w:rsidRDefault="00A64035" w:rsidP="00A64035">
      <w:pPr>
        <w:ind w:left="720"/>
        <w:rPr>
          <w:rFonts w:eastAsia="Calibri" w:cs="Arial"/>
          <w:sz w:val="22"/>
          <w:szCs w:val="22"/>
        </w:rPr>
      </w:pPr>
      <w:r w:rsidRPr="007D49C6">
        <w:rPr>
          <w:rFonts w:cs="Arial"/>
          <w:sz w:val="22"/>
          <w:szCs w:val="22"/>
        </w:rPr>
        <w:t>u poradenských programů</w:t>
      </w:r>
    </w:p>
    <w:p w:rsidR="00A64035" w:rsidRPr="007D49C6" w:rsidRDefault="00A64035" w:rsidP="00557F1F">
      <w:pPr>
        <w:numPr>
          <w:ilvl w:val="0"/>
          <w:numId w:val="23"/>
        </w:numPr>
        <w:ind w:left="1097"/>
        <w:rPr>
          <w:rFonts w:cs="Arial"/>
          <w:sz w:val="22"/>
          <w:szCs w:val="22"/>
        </w:rPr>
      </w:pPr>
      <w:r w:rsidRPr="007D49C6">
        <w:rPr>
          <w:rFonts w:cs="Arial"/>
          <w:sz w:val="22"/>
          <w:szCs w:val="22"/>
        </w:rPr>
        <w:t>VSE a.s.</w:t>
      </w:r>
    </w:p>
    <w:p w:rsidR="00A64035" w:rsidRPr="007D49C6" w:rsidRDefault="00A64035" w:rsidP="00557F1F">
      <w:pPr>
        <w:numPr>
          <w:ilvl w:val="0"/>
          <w:numId w:val="23"/>
        </w:numPr>
        <w:ind w:left="1097"/>
        <w:rPr>
          <w:rFonts w:cs="Arial"/>
          <w:sz w:val="22"/>
          <w:szCs w:val="22"/>
        </w:rPr>
      </w:pPr>
      <w:r w:rsidRPr="007D49C6">
        <w:rPr>
          <w:rFonts w:cs="Arial"/>
          <w:sz w:val="22"/>
          <w:szCs w:val="22"/>
        </w:rPr>
        <w:t>ASISTA, s.r.o.</w:t>
      </w:r>
    </w:p>
    <w:p w:rsidR="00A64035" w:rsidRPr="007D49C6" w:rsidRDefault="00A64035" w:rsidP="00557F1F">
      <w:pPr>
        <w:numPr>
          <w:ilvl w:val="0"/>
          <w:numId w:val="23"/>
        </w:numPr>
        <w:ind w:left="1097"/>
        <w:rPr>
          <w:rFonts w:cs="Arial"/>
          <w:sz w:val="22"/>
          <w:szCs w:val="22"/>
        </w:rPr>
      </w:pPr>
      <w:r w:rsidRPr="007D49C6">
        <w:rPr>
          <w:rFonts w:cs="Arial"/>
          <w:sz w:val="22"/>
          <w:szCs w:val="22"/>
        </w:rPr>
        <w:t>Vzdělávací společnost EDOST s.r.o.</w:t>
      </w:r>
    </w:p>
    <w:p w:rsidR="00A64035" w:rsidRPr="007D49C6" w:rsidRDefault="00A64035" w:rsidP="00557F1F">
      <w:pPr>
        <w:numPr>
          <w:ilvl w:val="0"/>
          <w:numId w:val="23"/>
        </w:numPr>
        <w:ind w:left="1097"/>
        <w:rPr>
          <w:rFonts w:cs="Arial"/>
          <w:sz w:val="22"/>
          <w:szCs w:val="22"/>
        </w:rPr>
      </w:pPr>
      <w:proofErr w:type="spellStart"/>
      <w:r w:rsidRPr="007D49C6">
        <w:rPr>
          <w:rFonts w:cs="Arial"/>
          <w:sz w:val="22"/>
          <w:szCs w:val="22"/>
        </w:rPr>
        <w:t>bfz</w:t>
      </w:r>
      <w:proofErr w:type="spellEnd"/>
      <w:r w:rsidRPr="007D49C6">
        <w:rPr>
          <w:rFonts w:cs="Arial"/>
          <w:sz w:val="22"/>
          <w:szCs w:val="22"/>
        </w:rPr>
        <w:t>-vzdělávací akademie s.r.o.</w:t>
      </w:r>
    </w:p>
    <w:p w:rsidR="00A64035" w:rsidRPr="007D49C6" w:rsidRDefault="00A64035" w:rsidP="00557F1F">
      <w:pPr>
        <w:numPr>
          <w:ilvl w:val="0"/>
          <w:numId w:val="23"/>
        </w:numPr>
        <w:ind w:left="1097"/>
        <w:rPr>
          <w:rFonts w:cs="Arial"/>
          <w:sz w:val="22"/>
          <w:szCs w:val="22"/>
        </w:rPr>
      </w:pPr>
      <w:r w:rsidRPr="007D49C6">
        <w:rPr>
          <w:rFonts w:cs="Arial"/>
          <w:sz w:val="22"/>
          <w:szCs w:val="22"/>
        </w:rPr>
        <w:t>Rodiče a děti Kadaně, občanské sdružení</w:t>
      </w:r>
    </w:p>
    <w:p w:rsidR="00A64035" w:rsidRPr="007D49C6" w:rsidRDefault="00A64035" w:rsidP="00A64035">
      <w:pPr>
        <w:ind w:left="720"/>
        <w:rPr>
          <w:rFonts w:cs="Arial"/>
          <w:sz w:val="22"/>
          <w:szCs w:val="22"/>
        </w:rPr>
      </w:pPr>
    </w:p>
    <w:p w:rsidR="00A64035" w:rsidRPr="007D49C6" w:rsidRDefault="00A64035" w:rsidP="00A64035">
      <w:pPr>
        <w:ind w:left="720"/>
        <w:rPr>
          <w:rFonts w:cs="Arial"/>
          <w:sz w:val="22"/>
          <w:szCs w:val="22"/>
        </w:rPr>
      </w:pPr>
      <w:r>
        <w:rPr>
          <w:rFonts w:cs="Arial"/>
          <w:sz w:val="22"/>
          <w:szCs w:val="22"/>
        </w:rPr>
        <w:t>u rekvalifikací (převážně školy</w:t>
      </w:r>
      <w:r w:rsidRPr="007D49C6">
        <w:rPr>
          <w:rFonts w:cs="Arial"/>
          <w:sz w:val="22"/>
          <w:szCs w:val="22"/>
        </w:rPr>
        <w:t>)</w:t>
      </w:r>
    </w:p>
    <w:p w:rsidR="00A64035" w:rsidRPr="007D49C6" w:rsidRDefault="00A64035" w:rsidP="00557F1F">
      <w:pPr>
        <w:numPr>
          <w:ilvl w:val="0"/>
          <w:numId w:val="24"/>
        </w:numPr>
        <w:ind w:left="1097"/>
        <w:rPr>
          <w:rFonts w:cs="Arial"/>
          <w:sz w:val="22"/>
          <w:szCs w:val="22"/>
        </w:rPr>
      </w:pPr>
      <w:r w:rsidRPr="007D49C6">
        <w:rPr>
          <w:rFonts w:cs="Arial"/>
          <w:sz w:val="22"/>
          <w:szCs w:val="22"/>
        </w:rPr>
        <w:t>Střední škola technická a automobilní Chomutov, příspěvková organizace</w:t>
      </w:r>
    </w:p>
    <w:p w:rsidR="00A64035" w:rsidRPr="007D49C6" w:rsidRDefault="00A64035" w:rsidP="00557F1F">
      <w:pPr>
        <w:numPr>
          <w:ilvl w:val="0"/>
          <w:numId w:val="24"/>
        </w:numPr>
        <w:ind w:left="1097"/>
        <w:rPr>
          <w:rFonts w:cs="Arial"/>
          <w:sz w:val="22"/>
          <w:szCs w:val="22"/>
        </w:rPr>
      </w:pPr>
      <w:r w:rsidRPr="007D49C6">
        <w:rPr>
          <w:rFonts w:cs="Arial"/>
          <w:sz w:val="22"/>
          <w:szCs w:val="22"/>
        </w:rPr>
        <w:t>Střední průmyslová škola a Vyšší odborná škola</w:t>
      </w:r>
      <w:r>
        <w:rPr>
          <w:rFonts w:cs="Arial"/>
          <w:sz w:val="22"/>
          <w:szCs w:val="22"/>
        </w:rPr>
        <w:t>,</w:t>
      </w:r>
      <w:r w:rsidRPr="007D49C6">
        <w:rPr>
          <w:rFonts w:cs="Arial"/>
          <w:sz w:val="22"/>
          <w:szCs w:val="22"/>
        </w:rPr>
        <w:t xml:space="preserve"> Chomutov, Školní 50, příspěvková organizace</w:t>
      </w:r>
    </w:p>
    <w:p w:rsidR="00A64035" w:rsidRPr="007D49C6" w:rsidRDefault="00A64035" w:rsidP="00557F1F">
      <w:pPr>
        <w:numPr>
          <w:ilvl w:val="0"/>
          <w:numId w:val="24"/>
        </w:numPr>
        <w:ind w:left="1097"/>
        <w:rPr>
          <w:rFonts w:cs="Arial"/>
          <w:sz w:val="22"/>
          <w:szCs w:val="22"/>
        </w:rPr>
      </w:pPr>
      <w:r w:rsidRPr="007D49C6">
        <w:rPr>
          <w:rFonts w:cs="Arial"/>
          <w:sz w:val="22"/>
          <w:szCs w:val="22"/>
        </w:rPr>
        <w:t>Obchodní akademie, Střední odborná škola gastronomie a Střední odborné učiliště, Chomutov, příspěvková organizace</w:t>
      </w:r>
    </w:p>
    <w:p w:rsidR="00A64035" w:rsidRPr="007D49C6" w:rsidRDefault="00A64035" w:rsidP="00557F1F">
      <w:pPr>
        <w:numPr>
          <w:ilvl w:val="0"/>
          <w:numId w:val="24"/>
        </w:numPr>
        <w:ind w:left="1097"/>
        <w:rPr>
          <w:rFonts w:cs="Arial"/>
          <w:sz w:val="22"/>
          <w:szCs w:val="22"/>
        </w:rPr>
      </w:pPr>
      <w:r w:rsidRPr="007D49C6">
        <w:rPr>
          <w:rFonts w:cs="Arial"/>
          <w:sz w:val="22"/>
          <w:szCs w:val="22"/>
        </w:rPr>
        <w:t>Střední škola energetická a stavební, Chomutov, Na Průhoně 4800, příspěvková organizace</w:t>
      </w:r>
    </w:p>
    <w:p w:rsidR="00A64035" w:rsidRPr="007D49C6" w:rsidRDefault="00A64035" w:rsidP="00557F1F">
      <w:pPr>
        <w:numPr>
          <w:ilvl w:val="0"/>
          <w:numId w:val="24"/>
        </w:numPr>
        <w:ind w:left="1097"/>
        <w:rPr>
          <w:rFonts w:cs="Arial"/>
          <w:sz w:val="22"/>
          <w:szCs w:val="22"/>
        </w:rPr>
      </w:pPr>
      <w:r w:rsidRPr="007D49C6">
        <w:rPr>
          <w:rFonts w:cs="Arial"/>
          <w:sz w:val="22"/>
          <w:szCs w:val="22"/>
        </w:rPr>
        <w:t>KROP, spol. s r.o.</w:t>
      </w:r>
    </w:p>
    <w:p w:rsidR="00A64035" w:rsidRDefault="00A64035" w:rsidP="00557F1F">
      <w:pPr>
        <w:numPr>
          <w:ilvl w:val="0"/>
          <w:numId w:val="24"/>
        </w:numPr>
        <w:ind w:left="1097"/>
        <w:rPr>
          <w:rFonts w:cs="Arial"/>
          <w:sz w:val="22"/>
          <w:szCs w:val="22"/>
        </w:rPr>
      </w:pPr>
      <w:r w:rsidRPr="007D49C6">
        <w:rPr>
          <w:rFonts w:cs="Arial"/>
          <w:sz w:val="22"/>
          <w:szCs w:val="22"/>
        </w:rPr>
        <w:t>Energetické opravny, a.s.</w:t>
      </w:r>
    </w:p>
    <w:p w:rsidR="00A64035" w:rsidRPr="007D49C6" w:rsidRDefault="00A64035" w:rsidP="00A64035">
      <w:pPr>
        <w:ind w:left="1097"/>
        <w:rPr>
          <w:rFonts w:cs="Arial"/>
          <w:sz w:val="22"/>
          <w:szCs w:val="22"/>
        </w:rPr>
      </w:pPr>
    </w:p>
    <w:p w:rsidR="00A64035" w:rsidRPr="007D49C6" w:rsidRDefault="00A64035" w:rsidP="00A64035">
      <w:pPr>
        <w:jc w:val="both"/>
        <w:rPr>
          <w:rFonts w:cs="Arial"/>
          <w:sz w:val="22"/>
          <w:szCs w:val="22"/>
        </w:rPr>
      </w:pP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9"/>
        <w:gridCol w:w="1598"/>
        <w:gridCol w:w="1598"/>
      </w:tblGrid>
      <w:tr w:rsidR="00A64035" w:rsidRPr="007D49C6" w:rsidTr="0075074A">
        <w:trPr>
          <w:cantSplit/>
          <w:trHeight w:val="404"/>
        </w:trPr>
        <w:tc>
          <w:tcPr>
            <w:tcW w:w="5878" w:type="dxa"/>
            <w:tcBorders>
              <w:top w:val="single" w:sz="12" w:space="0" w:color="auto"/>
              <w:left w:val="double" w:sz="4" w:space="0" w:color="auto"/>
              <w:bottom w:val="double" w:sz="4" w:space="0" w:color="auto"/>
              <w:right w:val="single" w:sz="4" w:space="0" w:color="auto"/>
            </w:tcBorders>
            <w:shd w:val="clear" w:color="auto" w:fill="EAEAEA"/>
            <w:vAlign w:val="center"/>
            <w:hideMark/>
          </w:tcPr>
          <w:p w:rsidR="00A64035" w:rsidRPr="007D49C6" w:rsidRDefault="00A64035" w:rsidP="0075074A">
            <w:pPr>
              <w:pStyle w:val="Nadpis3"/>
              <w:numPr>
                <w:ilvl w:val="0"/>
                <w:numId w:val="0"/>
              </w:numPr>
              <w:ind w:left="720"/>
            </w:pPr>
            <w:r w:rsidRPr="007D49C6">
              <w:lastRenderedPageBreak/>
              <w:t>ukazatel</w:t>
            </w:r>
          </w:p>
        </w:tc>
        <w:tc>
          <w:tcPr>
            <w:tcW w:w="1597" w:type="dxa"/>
            <w:tcBorders>
              <w:top w:val="single" w:sz="12" w:space="0" w:color="auto"/>
              <w:left w:val="single" w:sz="4" w:space="0" w:color="auto"/>
              <w:bottom w:val="double" w:sz="4" w:space="0" w:color="auto"/>
              <w:right w:val="single" w:sz="4" w:space="0" w:color="auto"/>
            </w:tcBorders>
            <w:shd w:val="clear" w:color="auto" w:fill="EAEAEA"/>
            <w:vAlign w:val="center"/>
            <w:hideMark/>
          </w:tcPr>
          <w:p w:rsidR="00A64035" w:rsidRPr="007D49C6" w:rsidRDefault="00A64035" w:rsidP="0075074A">
            <w:pPr>
              <w:jc w:val="center"/>
              <w:rPr>
                <w:rFonts w:cs="Arial"/>
                <w:b/>
                <w:bCs/>
                <w:sz w:val="22"/>
                <w:szCs w:val="22"/>
              </w:rPr>
            </w:pPr>
            <w:r w:rsidRPr="007D49C6">
              <w:rPr>
                <w:rFonts w:cs="Arial"/>
                <w:b/>
                <w:bCs/>
                <w:sz w:val="22"/>
                <w:szCs w:val="22"/>
              </w:rPr>
              <w:t>rok 2010</w:t>
            </w:r>
          </w:p>
        </w:tc>
        <w:tc>
          <w:tcPr>
            <w:tcW w:w="1597" w:type="dxa"/>
            <w:tcBorders>
              <w:top w:val="single" w:sz="12" w:space="0" w:color="auto"/>
              <w:left w:val="single" w:sz="4" w:space="0" w:color="auto"/>
              <w:bottom w:val="double" w:sz="4" w:space="0" w:color="auto"/>
              <w:right w:val="single" w:sz="12" w:space="0" w:color="auto"/>
            </w:tcBorders>
            <w:shd w:val="clear" w:color="auto" w:fill="EAEAEA"/>
            <w:vAlign w:val="center"/>
            <w:hideMark/>
          </w:tcPr>
          <w:p w:rsidR="00A64035" w:rsidRPr="007D49C6" w:rsidRDefault="00A64035" w:rsidP="0075074A">
            <w:pPr>
              <w:jc w:val="center"/>
              <w:rPr>
                <w:rFonts w:cs="Arial"/>
                <w:b/>
                <w:bCs/>
                <w:sz w:val="22"/>
                <w:szCs w:val="22"/>
              </w:rPr>
            </w:pPr>
            <w:r w:rsidRPr="007D49C6">
              <w:rPr>
                <w:rFonts w:cs="Arial"/>
                <w:b/>
                <w:bCs/>
                <w:sz w:val="22"/>
                <w:szCs w:val="22"/>
              </w:rPr>
              <w:t>rok 2011</w:t>
            </w:r>
          </w:p>
        </w:tc>
      </w:tr>
      <w:tr w:rsidR="00A64035" w:rsidRPr="007D49C6" w:rsidTr="0075074A">
        <w:trPr>
          <w:cantSplit/>
        </w:trPr>
        <w:tc>
          <w:tcPr>
            <w:tcW w:w="9072" w:type="dxa"/>
            <w:gridSpan w:val="3"/>
            <w:tcBorders>
              <w:top w:val="double" w:sz="4" w:space="0" w:color="auto"/>
              <w:left w:val="double" w:sz="4" w:space="0" w:color="auto"/>
              <w:bottom w:val="single" w:sz="4" w:space="0" w:color="auto"/>
              <w:right w:val="double" w:sz="4" w:space="0" w:color="auto"/>
            </w:tcBorders>
            <w:shd w:val="clear" w:color="auto" w:fill="C0C0C0"/>
            <w:hideMark/>
          </w:tcPr>
          <w:p w:rsidR="00A64035" w:rsidRPr="007D49C6" w:rsidRDefault="00A64035" w:rsidP="0075074A">
            <w:pPr>
              <w:jc w:val="center"/>
              <w:rPr>
                <w:rFonts w:cs="Arial"/>
                <w:b/>
                <w:i/>
                <w:sz w:val="22"/>
                <w:szCs w:val="22"/>
              </w:rPr>
            </w:pPr>
            <w:r w:rsidRPr="007D49C6">
              <w:rPr>
                <w:rFonts w:cs="Arial"/>
                <w:b/>
                <w:i/>
                <w:sz w:val="22"/>
                <w:szCs w:val="22"/>
              </w:rPr>
              <w:t>rekvalifikace uchazečů o zaměstnání</w:t>
            </w:r>
          </w:p>
        </w:tc>
      </w:tr>
      <w:tr w:rsidR="00A64035" w:rsidRPr="007D49C6" w:rsidTr="0075074A">
        <w:trPr>
          <w:cantSplit/>
        </w:trPr>
        <w:tc>
          <w:tcPr>
            <w:tcW w:w="5878" w:type="dxa"/>
            <w:tcBorders>
              <w:top w:val="single" w:sz="12"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pStyle w:val="Zpat"/>
              <w:tabs>
                <w:tab w:val="left" w:pos="708"/>
              </w:tabs>
              <w:rPr>
                <w:rFonts w:cs="Arial"/>
                <w:sz w:val="22"/>
                <w:szCs w:val="22"/>
              </w:rPr>
            </w:pPr>
            <w:r w:rsidRPr="007D49C6">
              <w:rPr>
                <w:rFonts w:cs="Arial"/>
                <w:sz w:val="22"/>
                <w:szCs w:val="22"/>
              </w:rPr>
              <w:t>počet uchazečů zařazených do rekvalifikací</w:t>
            </w:r>
          </w:p>
        </w:tc>
        <w:tc>
          <w:tcPr>
            <w:tcW w:w="1597" w:type="dxa"/>
            <w:tcBorders>
              <w:top w:val="single" w:sz="12"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1 034</w:t>
            </w:r>
          </w:p>
        </w:tc>
        <w:tc>
          <w:tcPr>
            <w:tcW w:w="1597" w:type="dxa"/>
            <w:tcBorders>
              <w:top w:val="single" w:sz="12"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635</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z toho: ženy</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536</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374</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vertAlign w:val="superscript"/>
              </w:rPr>
            </w:pPr>
            <w:r w:rsidRPr="007D49C6">
              <w:rPr>
                <w:rFonts w:cs="Arial"/>
                <w:sz w:val="22"/>
                <w:szCs w:val="22"/>
              </w:rPr>
              <w:t xml:space="preserve">            absolventi škol a mladiství</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36</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11</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 xml:space="preserve">            OZP</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50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30</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rekvalifikaci ukončilo celkem</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955</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657</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 xml:space="preserve">            z toho úspěšně </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801</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567</w:t>
            </w:r>
          </w:p>
        </w:tc>
      </w:tr>
      <w:tr w:rsidR="00A64035" w:rsidRPr="007D49C6" w:rsidTr="0075074A">
        <w:trPr>
          <w:cantSplit/>
        </w:trPr>
        <w:tc>
          <w:tcPr>
            <w:tcW w:w="5878" w:type="dxa"/>
            <w:tcBorders>
              <w:top w:val="single" w:sz="4" w:space="0" w:color="auto"/>
              <w:left w:val="double" w:sz="4" w:space="0" w:color="auto"/>
              <w:bottom w:val="double" w:sz="4" w:space="0" w:color="auto"/>
              <w:right w:val="single" w:sz="12" w:space="0" w:color="auto"/>
            </w:tcBorders>
            <w:shd w:val="clear" w:color="auto" w:fill="EAEAEA"/>
            <w:hideMark/>
          </w:tcPr>
          <w:p w:rsidR="00A64035" w:rsidRPr="007D49C6" w:rsidRDefault="00A64035" w:rsidP="0075074A">
            <w:pPr>
              <w:rPr>
                <w:rFonts w:cs="Arial"/>
                <w:sz w:val="22"/>
                <w:szCs w:val="22"/>
                <w:vertAlign w:val="superscript"/>
              </w:rPr>
            </w:pPr>
            <w:r w:rsidRPr="007D49C6">
              <w:rPr>
                <w:rFonts w:cs="Arial"/>
                <w:sz w:val="22"/>
                <w:szCs w:val="22"/>
              </w:rPr>
              <w:t>počet uchazečů umístěných po rekvalifikaci</w:t>
            </w:r>
          </w:p>
        </w:tc>
        <w:tc>
          <w:tcPr>
            <w:tcW w:w="1597" w:type="dxa"/>
            <w:tcBorders>
              <w:top w:val="single" w:sz="4" w:space="0" w:color="auto"/>
              <w:left w:val="nil"/>
              <w:bottom w:val="doub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434</w:t>
            </w:r>
          </w:p>
        </w:tc>
        <w:tc>
          <w:tcPr>
            <w:tcW w:w="1597" w:type="dxa"/>
            <w:tcBorders>
              <w:top w:val="single" w:sz="4" w:space="0" w:color="auto"/>
              <w:left w:val="single" w:sz="4" w:space="0" w:color="auto"/>
              <w:bottom w:val="doub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355</w:t>
            </w:r>
          </w:p>
        </w:tc>
      </w:tr>
      <w:tr w:rsidR="00A64035" w:rsidRPr="007D49C6" w:rsidTr="0075074A">
        <w:trPr>
          <w:cantSplit/>
        </w:trPr>
        <w:tc>
          <w:tcPr>
            <w:tcW w:w="9072" w:type="dxa"/>
            <w:gridSpan w:val="3"/>
            <w:tcBorders>
              <w:top w:val="double" w:sz="4" w:space="0" w:color="auto"/>
              <w:left w:val="double" w:sz="4" w:space="0" w:color="auto"/>
              <w:bottom w:val="single" w:sz="4" w:space="0" w:color="auto"/>
              <w:right w:val="double" w:sz="4" w:space="0" w:color="auto"/>
            </w:tcBorders>
            <w:shd w:val="clear" w:color="auto" w:fill="C0C0C0"/>
            <w:hideMark/>
          </w:tcPr>
          <w:p w:rsidR="00A64035" w:rsidRPr="007D49C6" w:rsidRDefault="00A64035" w:rsidP="0075074A">
            <w:pPr>
              <w:jc w:val="center"/>
              <w:rPr>
                <w:rFonts w:cs="Arial"/>
                <w:b/>
                <w:i/>
                <w:sz w:val="22"/>
                <w:szCs w:val="22"/>
              </w:rPr>
            </w:pPr>
            <w:r w:rsidRPr="007D49C6">
              <w:rPr>
                <w:rFonts w:cs="Arial"/>
                <w:b/>
                <w:i/>
                <w:sz w:val="22"/>
                <w:szCs w:val="22"/>
              </w:rPr>
              <w:t>rekvalifikace zájemců o zaměstnání</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pStyle w:val="Zpat"/>
              <w:tabs>
                <w:tab w:val="left" w:pos="708"/>
              </w:tabs>
              <w:rPr>
                <w:rFonts w:cs="Arial"/>
                <w:sz w:val="22"/>
                <w:szCs w:val="22"/>
              </w:rPr>
            </w:pPr>
            <w:r w:rsidRPr="007D49C6">
              <w:rPr>
                <w:rFonts w:cs="Arial"/>
                <w:sz w:val="22"/>
                <w:szCs w:val="22"/>
              </w:rPr>
              <w:t>počet zájemců zařazených do rekvalifikací</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rekvalifikaci ukončilo celkem</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 xml:space="preserve">           z toho úspěšně </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w:t>
            </w:r>
          </w:p>
        </w:tc>
      </w:tr>
      <w:tr w:rsidR="00A64035" w:rsidRPr="007D49C6" w:rsidTr="0075074A">
        <w:trPr>
          <w:cantSplit/>
        </w:trPr>
        <w:tc>
          <w:tcPr>
            <w:tcW w:w="5878" w:type="dxa"/>
            <w:tcBorders>
              <w:top w:val="single" w:sz="4" w:space="0" w:color="auto"/>
              <w:left w:val="double" w:sz="4" w:space="0" w:color="auto"/>
              <w:bottom w:val="double" w:sz="4" w:space="0" w:color="auto"/>
              <w:right w:val="single" w:sz="12" w:space="0" w:color="auto"/>
            </w:tcBorders>
            <w:shd w:val="clear" w:color="auto" w:fill="EAEAEA"/>
            <w:hideMark/>
          </w:tcPr>
          <w:p w:rsidR="00A64035" w:rsidRPr="007D49C6" w:rsidRDefault="00A64035" w:rsidP="0075074A">
            <w:pPr>
              <w:rPr>
                <w:rFonts w:cs="Arial"/>
                <w:sz w:val="22"/>
                <w:szCs w:val="22"/>
                <w:vertAlign w:val="superscript"/>
              </w:rPr>
            </w:pPr>
            <w:r w:rsidRPr="007D49C6">
              <w:rPr>
                <w:rFonts w:cs="Arial"/>
                <w:sz w:val="22"/>
                <w:szCs w:val="22"/>
              </w:rPr>
              <w:t xml:space="preserve">počet zájemců umístěných po rekvalifikaci </w:t>
            </w:r>
          </w:p>
        </w:tc>
        <w:tc>
          <w:tcPr>
            <w:tcW w:w="1597" w:type="dxa"/>
            <w:tcBorders>
              <w:top w:val="single" w:sz="4" w:space="0" w:color="auto"/>
              <w:left w:val="nil"/>
              <w:bottom w:val="doub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w:t>
            </w:r>
          </w:p>
        </w:tc>
        <w:tc>
          <w:tcPr>
            <w:tcW w:w="1597" w:type="dxa"/>
            <w:tcBorders>
              <w:top w:val="single" w:sz="4" w:space="0" w:color="auto"/>
              <w:left w:val="single" w:sz="4" w:space="0" w:color="auto"/>
              <w:bottom w:val="doub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w:t>
            </w:r>
          </w:p>
        </w:tc>
      </w:tr>
      <w:tr w:rsidR="00A64035" w:rsidRPr="007D49C6" w:rsidTr="0075074A">
        <w:trPr>
          <w:cantSplit/>
        </w:trPr>
        <w:tc>
          <w:tcPr>
            <w:tcW w:w="9072" w:type="dxa"/>
            <w:gridSpan w:val="3"/>
            <w:tcBorders>
              <w:top w:val="double" w:sz="4" w:space="0" w:color="auto"/>
              <w:left w:val="double" w:sz="4" w:space="0" w:color="auto"/>
              <w:bottom w:val="single" w:sz="4" w:space="0" w:color="auto"/>
              <w:right w:val="double" w:sz="4" w:space="0" w:color="auto"/>
            </w:tcBorders>
            <w:shd w:val="clear" w:color="auto" w:fill="C0C0C0"/>
            <w:hideMark/>
          </w:tcPr>
          <w:p w:rsidR="00A64035" w:rsidRPr="007D49C6" w:rsidRDefault="00A64035" w:rsidP="0075074A">
            <w:pPr>
              <w:jc w:val="center"/>
              <w:rPr>
                <w:rFonts w:cs="Arial"/>
                <w:sz w:val="22"/>
                <w:szCs w:val="22"/>
              </w:rPr>
            </w:pPr>
            <w:r w:rsidRPr="007D49C6">
              <w:rPr>
                <w:rFonts w:cs="Arial"/>
                <w:b/>
                <w:i/>
                <w:sz w:val="22"/>
                <w:szCs w:val="22"/>
              </w:rPr>
              <w:t>rekvalifikace zaměstnanců</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pStyle w:val="Zpat"/>
              <w:tabs>
                <w:tab w:val="left" w:pos="708"/>
              </w:tabs>
              <w:rPr>
                <w:rFonts w:cs="Arial"/>
                <w:sz w:val="22"/>
                <w:szCs w:val="22"/>
              </w:rPr>
            </w:pPr>
            <w:r w:rsidRPr="007D49C6">
              <w:rPr>
                <w:rFonts w:cs="Arial"/>
                <w:sz w:val="22"/>
                <w:szCs w:val="22"/>
              </w:rPr>
              <w:t>počet zaměstnavatelů</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počet zaměstnanců zařazených do rekvalifikací</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rekvalifikaci ukončilo celkem</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doub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 xml:space="preserve">           z toho úspěšně</w:t>
            </w:r>
          </w:p>
        </w:tc>
        <w:tc>
          <w:tcPr>
            <w:tcW w:w="1597" w:type="dxa"/>
            <w:tcBorders>
              <w:top w:val="single" w:sz="4" w:space="0" w:color="auto"/>
              <w:left w:val="nil"/>
              <w:bottom w:val="doub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c>
          <w:tcPr>
            <w:tcW w:w="1597" w:type="dxa"/>
            <w:tcBorders>
              <w:top w:val="single" w:sz="4" w:space="0" w:color="auto"/>
              <w:left w:val="single" w:sz="4" w:space="0" w:color="auto"/>
              <w:bottom w:val="doub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bl>
    <w:p w:rsidR="00A64035" w:rsidRPr="007D49C6" w:rsidRDefault="00A64035" w:rsidP="00A64035">
      <w:pPr>
        <w:jc w:val="both"/>
        <w:rPr>
          <w:rFonts w:cs="Arial"/>
          <w:sz w:val="22"/>
          <w:szCs w:val="22"/>
        </w:rPr>
      </w:pPr>
    </w:p>
    <w:p w:rsidR="00A64035" w:rsidRPr="007D49C6" w:rsidRDefault="00A64035" w:rsidP="00A64035">
      <w:pPr>
        <w:jc w:val="both"/>
        <w:rPr>
          <w:rFonts w:cs="Arial"/>
          <w:sz w:val="22"/>
          <w:szCs w:val="22"/>
        </w:rPr>
      </w:pP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9"/>
        <w:gridCol w:w="1598"/>
        <w:gridCol w:w="1598"/>
      </w:tblGrid>
      <w:tr w:rsidR="00A64035" w:rsidRPr="007D49C6" w:rsidTr="0075074A">
        <w:trPr>
          <w:cantSplit/>
          <w:trHeight w:val="404"/>
        </w:trPr>
        <w:tc>
          <w:tcPr>
            <w:tcW w:w="5878" w:type="dxa"/>
            <w:tcBorders>
              <w:top w:val="single" w:sz="12" w:space="0" w:color="auto"/>
              <w:left w:val="double" w:sz="4" w:space="0" w:color="auto"/>
              <w:bottom w:val="double" w:sz="4" w:space="0" w:color="auto"/>
              <w:right w:val="single" w:sz="4" w:space="0" w:color="auto"/>
            </w:tcBorders>
            <w:shd w:val="clear" w:color="auto" w:fill="EAEAEA"/>
            <w:vAlign w:val="center"/>
            <w:hideMark/>
          </w:tcPr>
          <w:p w:rsidR="00A64035" w:rsidRPr="007D49C6" w:rsidRDefault="00A64035" w:rsidP="0075074A">
            <w:pPr>
              <w:pStyle w:val="Nadpis3"/>
              <w:numPr>
                <w:ilvl w:val="0"/>
                <w:numId w:val="0"/>
              </w:numPr>
              <w:ind w:left="720"/>
            </w:pPr>
            <w:r w:rsidRPr="007D49C6">
              <w:t>ukazatel (OP LZZ)</w:t>
            </w:r>
          </w:p>
        </w:tc>
        <w:tc>
          <w:tcPr>
            <w:tcW w:w="1597" w:type="dxa"/>
            <w:tcBorders>
              <w:top w:val="single" w:sz="12" w:space="0" w:color="auto"/>
              <w:left w:val="single" w:sz="4" w:space="0" w:color="auto"/>
              <w:bottom w:val="double" w:sz="4" w:space="0" w:color="auto"/>
              <w:right w:val="single" w:sz="4" w:space="0" w:color="auto"/>
            </w:tcBorders>
            <w:shd w:val="clear" w:color="auto" w:fill="EAEAEA"/>
            <w:vAlign w:val="center"/>
            <w:hideMark/>
          </w:tcPr>
          <w:p w:rsidR="00A64035" w:rsidRPr="007D49C6" w:rsidRDefault="00A64035" w:rsidP="0075074A">
            <w:pPr>
              <w:jc w:val="center"/>
              <w:rPr>
                <w:rFonts w:cs="Arial"/>
                <w:b/>
                <w:bCs/>
                <w:sz w:val="22"/>
                <w:szCs w:val="22"/>
              </w:rPr>
            </w:pPr>
            <w:r w:rsidRPr="007D49C6">
              <w:rPr>
                <w:rFonts w:cs="Arial"/>
                <w:b/>
                <w:bCs/>
                <w:sz w:val="22"/>
                <w:szCs w:val="22"/>
              </w:rPr>
              <w:t>rok 2010</w:t>
            </w:r>
          </w:p>
        </w:tc>
        <w:tc>
          <w:tcPr>
            <w:tcW w:w="1597" w:type="dxa"/>
            <w:tcBorders>
              <w:top w:val="single" w:sz="12" w:space="0" w:color="auto"/>
              <w:left w:val="single" w:sz="4" w:space="0" w:color="auto"/>
              <w:bottom w:val="double" w:sz="4" w:space="0" w:color="auto"/>
              <w:right w:val="single" w:sz="12" w:space="0" w:color="auto"/>
            </w:tcBorders>
            <w:shd w:val="clear" w:color="auto" w:fill="EAEAEA"/>
            <w:vAlign w:val="center"/>
            <w:hideMark/>
          </w:tcPr>
          <w:p w:rsidR="00A64035" w:rsidRPr="007D49C6" w:rsidRDefault="00A64035" w:rsidP="0075074A">
            <w:pPr>
              <w:jc w:val="center"/>
              <w:rPr>
                <w:rFonts w:cs="Arial"/>
                <w:b/>
                <w:bCs/>
                <w:sz w:val="22"/>
                <w:szCs w:val="22"/>
              </w:rPr>
            </w:pPr>
            <w:r w:rsidRPr="007D49C6">
              <w:rPr>
                <w:rFonts w:cs="Arial"/>
                <w:b/>
                <w:bCs/>
                <w:sz w:val="22"/>
                <w:szCs w:val="22"/>
              </w:rPr>
              <w:t>rok 2011</w:t>
            </w:r>
          </w:p>
        </w:tc>
      </w:tr>
      <w:tr w:rsidR="00A64035" w:rsidRPr="007D49C6" w:rsidTr="0075074A">
        <w:trPr>
          <w:cantSplit/>
        </w:trPr>
        <w:tc>
          <w:tcPr>
            <w:tcW w:w="9072" w:type="dxa"/>
            <w:gridSpan w:val="3"/>
            <w:tcBorders>
              <w:top w:val="double" w:sz="4" w:space="0" w:color="auto"/>
              <w:left w:val="double" w:sz="4" w:space="0" w:color="auto"/>
              <w:bottom w:val="single" w:sz="4" w:space="0" w:color="auto"/>
              <w:right w:val="double" w:sz="4" w:space="0" w:color="auto"/>
            </w:tcBorders>
            <w:shd w:val="clear" w:color="auto" w:fill="C0C0C0"/>
            <w:hideMark/>
          </w:tcPr>
          <w:p w:rsidR="00A64035" w:rsidRPr="007D49C6" w:rsidRDefault="00A64035" w:rsidP="0075074A">
            <w:pPr>
              <w:jc w:val="center"/>
              <w:rPr>
                <w:rFonts w:cs="Arial"/>
                <w:b/>
                <w:i/>
                <w:sz w:val="22"/>
                <w:szCs w:val="22"/>
              </w:rPr>
            </w:pPr>
            <w:r w:rsidRPr="007D49C6">
              <w:rPr>
                <w:rFonts w:cs="Arial"/>
                <w:b/>
                <w:i/>
                <w:sz w:val="22"/>
                <w:szCs w:val="22"/>
              </w:rPr>
              <w:t>rekvalifikace uchazečů o zaměstnání OP LZZ</w:t>
            </w:r>
          </w:p>
        </w:tc>
      </w:tr>
      <w:tr w:rsidR="00A64035" w:rsidRPr="007D49C6" w:rsidTr="0075074A">
        <w:trPr>
          <w:cantSplit/>
        </w:trPr>
        <w:tc>
          <w:tcPr>
            <w:tcW w:w="5878" w:type="dxa"/>
            <w:tcBorders>
              <w:top w:val="single" w:sz="12"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pStyle w:val="Zpat"/>
              <w:tabs>
                <w:tab w:val="left" w:pos="708"/>
              </w:tabs>
              <w:rPr>
                <w:rFonts w:cs="Arial"/>
                <w:sz w:val="22"/>
                <w:szCs w:val="22"/>
              </w:rPr>
            </w:pPr>
            <w:r w:rsidRPr="007D49C6">
              <w:rPr>
                <w:rFonts w:cs="Arial"/>
                <w:sz w:val="22"/>
                <w:szCs w:val="22"/>
              </w:rPr>
              <w:t>počet uchazečů zařazených do rekvalifikací</w:t>
            </w:r>
          </w:p>
        </w:tc>
        <w:tc>
          <w:tcPr>
            <w:tcW w:w="1597" w:type="dxa"/>
            <w:tcBorders>
              <w:top w:val="single" w:sz="12"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823</w:t>
            </w:r>
          </w:p>
        </w:tc>
        <w:tc>
          <w:tcPr>
            <w:tcW w:w="1597" w:type="dxa"/>
            <w:tcBorders>
              <w:top w:val="single" w:sz="12"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205</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z toho: ženy</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379</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86</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vertAlign w:val="superscript"/>
              </w:rPr>
            </w:pPr>
            <w:r w:rsidRPr="007D49C6">
              <w:rPr>
                <w:rFonts w:cs="Arial"/>
                <w:sz w:val="22"/>
                <w:szCs w:val="22"/>
              </w:rPr>
              <w:t xml:space="preserve">            absolventi škol a mladiství</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6</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 xml:space="preserve">            OZP</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rekvalifikaci ukončilo celkem</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760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199</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 xml:space="preserve">            z toho úspěšně </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628</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160</w:t>
            </w:r>
          </w:p>
        </w:tc>
      </w:tr>
      <w:tr w:rsidR="00A64035" w:rsidRPr="007D49C6" w:rsidTr="0075074A">
        <w:trPr>
          <w:cantSplit/>
        </w:trPr>
        <w:tc>
          <w:tcPr>
            <w:tcW w:w="5878" w:type="dxa"/>
            <w:tcBorders>
              <w:top w:val="single" w:sz="4" w:space="0" w:color="auto"/>
              <w:left w:val="double" w:sz="4" w:space="0" w:color="auto"/>
              <w:bottom w:val="double" w:sz="4" w:space="0" w:color="auto"/>
              <w:right w:val="single" w:sz="12" w:space="0" w:color="auto"/>
            </w:tcBorders>
            <w:shd w:val="clear" w:color="auto" w:fill="EAEAEA"/>
            <w:hideMark/>
          </w:tcPr>
          <w:p w:rsidR="00A64035" w:rsidRPr="007D49C6" w:rsidRDefault="00A64035" w:rsidP="0075074A">
            <w:pPr>
              <w:rPr>
                <w:rFonts w:cs="Arial"/>
                <w:sz w:val="22"/>
                <w:szCs w:val="22"/>
                <w:vertAlign w:val="superscript"/>
              </w:rPr>
            </w:pPr>
            <w:r w:rsidRPr="007D49C6">
              <w:rPr>
                <w:rFonts w:cs="Arial"/>
                <w:sz w:val="22"/>
                <w:szCs w:val="22"/>
              </w:rPr>
              <w:t>počet uchazečů umístěných po rekvalifikaci</w:t>
            </w:r>
          </w:p>
        </w:tc>
        <w:tc>
          <w:tcPr>
            <w:tcW w:w="1597" w:type="dxa"/>
            <w:tcBorders>
              <w:top w:val="single" w:sz="4" w:space="0" w:color="auto"/>
              <w:left w:val="nil"/>
              <w:bottom w:val="doub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365</w:t>
            </w:r>
          </w:p>
        </w:tc>
        <w:tc>
          <w:tcPr>
            <w:tcW w:w="1597" w:type="dxa"/>
            <w:tcBorders>
              <w:top w:val="single" w:sz="4" w:space="0" w:color="auto"/>
              <w:left w:val="single" w:sz="4" w:space="0" w:color="auto"/>
              <w:bottom w:val="doub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196</w:t>
            </w:r>
          </w:p>
        </w:tc>
      </w:tr>
      <w:tr w:rsidR="00A64035" w:rsidRPr="007D49C6" w:rsidTr="0075074A">
        <w:trPr>
          <w:cantSplit/>
        </w:trPr>
        <w:tc>
          <w:tcPr>
            <w:tcW w:w="9072" w:type="dxa"/>
            <w:gridSpan w:val="3"/>
            <w:tcBorders>
              <w:top w:val="double" w:sz="4" w:space="0" w:color="auto"/>
              <w:left w:val="double" w:sz="4" w:space="0" w:color="auto"/>
              <w:bottom w:val="single" w:sz="4" w:space="0" w:color="auto"/>
              <w:right w:val="double" w:sz="4" w:space="0" w:color="auto"/>
            </w:tcBorders>
            <w:shd w:val="clear" w:color="auto" w:fill="C0C0C0"/>
            <w:hideMark/>
          </w:tcPr>
          <w:p w:rsidR="00A64035" w:rsidRPr="007D49C6" w:rsidRDefault="00A64035" w:rsidP="0075074A">
            <w:pPr>
              <w:jc w:val="center"/>
              <w:rPr>
                <w:rFonts w:cs="Arial"/>
                <w:b/>
                <w:i/>
                <w:sz w:val="22"/>
                <w:szCs w:val="22"/>
              </w:rPr>
            </w:pPr>
            <w:r w:rsidRPr="007D49C6">
              <w:rPr>
                <w:rFonts w:cs="Arial"/>
                <w:b/>
                <w:i/>
                <w:sz w:val="22"/>
                <w:szCs w:val="22"/>
              </w:rPr>
              <w:t>rekvalifikace zájemců o zaměstnání OP LZZ</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pStyle w:val="Zpat"/>
              <w:tabs>
                <w:tab w:val="left" w:pos="708"/>
              </w:tabs>
              <w:rPr>
                <w:rFonts w:cs="Arial"/>
                <w:sz w:val="22"/>
                <w:szCs w:val="22"/>
              </w:rPr>
            </w:pPr>
            <w:r w:rsidRPr="007D49C6">
              <w:rPr>
                <w:rFonts w:cs="Arial"/>
                <w:sz w:val="22"/>
                <w:szCs w:val="22"/>
              </w:rPr>
              <w:t>počet zájemců zařazených do rekvalifikací</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rekvalifikaci ukončilo celkem</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 xml:space="preserve">           z toho úspěšně </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double" w:sz="4" w:space="0" w:color="auto"/>
              <w:right w:val="single" w:sz="12" w:space="0" w:color="auto"/>
            </w:tcBorders>
            <w:shd w:val="clear" w:color="auto" w:fill="EAEAEA"/>
            <w:hideMark/>
          </w:tcPr>
          <w:p w:rsidR="00A64035" w:rsidRPr="007D49C6" w:rsidRDefault="00A64035" w:rsidP="0075074A">
            <w:pPr>
              <w:rPr>
                <w:rFonts w:cs="Arial"/>
                <w:sz w:val="22"/>
                <w:szCs w:val="22"/>
                <w:vertAlign w:val="superscript"/>
              </w:rPr>
            </w:pPr>
            <w:r w:rsidRPr="007D49C6">
              <w:rPr>
                <w:rFonts w:cs="Arial"/>
                <w:sz w:val="22"/>
                <w:szCs w:val="22"/>
              </w:rPr>
              <w:t xml:space="preserve">počet zájemců umístěných po rekvalifikaci </w:t>
            </w:r>
          </w:p>
        </w:tc>
        <w:tc>
          <w:tcPr>
            <w:tcW w:w="1597" w:type="dxa"/>
            <w:tcBorders>
              <w:top w:val="single" w:sz="4" w:space="0" w:color="auto"/>
              <w:left w:val="nil"/>
              <w:bottom w:val="doub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1</w:t>
            </w:r>
          </w:p>
        </w:tc>
        <w:tc>
          <w:tcPr>
            <w:tcW w:w="1597" w:type="dxa"/>
            <w:tcBorders>
              <w:top w:val="single" w:sz="4" w:space="0" w:color="auto"/>
              <w:left w:val="single" w:sz="4" w:space="0" w:color="auto"/>
              <w:bottom w:val="doub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9072" w:type="dxa"/>
            <w:gridSpan w:val="3"/>
            <w:tcBorders>
              <w:top w:val="double" w:sz="4" w:space="0" w:color="auto"/>
              <w:left w:val="double" w:sz="4" w:space="0" w:color="auto"/>
              <w:bottom w:val="single" w:sz="4" w:space="0" w:color="auto"/>
              <w:right w:val="double" w:sz="4" w:space="0" w:color="auto"/>
            </w:tcBorders>
            <w:shd w:val="clear" w:color="auto" w:fill="C0C0C0"/>
            <w:hideMark/>
          </w:tcPr>
          <w:p w:rsidR="00A64035" w:rsidRPr="007D49C6" w:rsidRDefault="00A64035" w:rsidP="0075074A">
            <w:pPr>
              <w:jc w:val="center"/>
              <w:rPr>
                <w:rFonts w:cs="Arial"/>
                <w:sz w:val="22"/>
                <w:szCs w:val="22"/>
              </w:rPr>
            </w:pPr>
            <w:r w:rsidRPr="007D49C6">
              <w:rPr>
                <w:rFonts w:cs="Arial"/>
                <w:b/>
                <w:i/>
                <w:sz w:val="22"/>
                <w:szCs w:val="22"/>
              </w:rPr>
              <w:t>rekvalifikace zaměstnanců OP LZZ</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pStyle w:val="Zpat"/>
              <w:tabs>
                <w:tab w:val="left" w:pos="708"/>
              </w:tabs>
              <w:rPr>
                <w:rFonts w:cs="Arial"/>
                <w:sz w:val="22"/>
                <w:szCs w:val="22"/>
              </w:rPr>
            </w:pPr>
            <w:r w:rsidRPr="007D49C6">
              <w:rPr>
                <w:rFonts w:cs="Arial"/>
                <w:sz w:val="22"/>
                <w:szCs w:val="22"/>
              </w:rPr>
              <w:t>počet zaměstnavatelů</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počet zaměstnanců zařazených do rekvalifikací</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sing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rekvalifikaci ukončilo celkem</w:t>
            </w:r>
          </w:p>
        </w:tc>
        <w:tc>
          <w:tcPr>
            <w:tcW w:w="1597" w:type="dxa"/>
            <w:tcBorders>
              <w:top w:val="single" w:sz="4" w:space="0" w:color="auto"/>
              <w:left w:val="nil"/>
              <w:bottom w:val="sing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c>
          <w:tcPr>
            <w:tcW w:w="1597" w:type="dxa"/>
            <w:tcBorders>
              <w:top w:val="single" w:sz="4" w:space="0" w:color="auto"/>
              <w:left w:val="single" w:sz="4" w:space="0" w:color="auto"/>
              <w:bottom w:val="sing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r w:rsidR="00A64035" w:rsidRPr="007D49C6" w:rsidTr="0075074A">
        <w:trPr>
          <w:cantSplit/>
        </w:trPr>
        <w:tc>
          <w:tcPr>
            <w:tcW w:w="5878" w:type="dxa"/>
            <w:tcBorders>
              <w:top w:val="single" w:sz="4" w:space="0" w:color="auto"/>
              <w:left w:val="double" w:sz="4" w:space="0" w:color="auto"/>
              <w:bottom w:val="double" w:sz="4" w:space="0" w:color="auto"/>
              <w:right w:val="single" w:sz="12" w:space="0" w:color="auto"/>
            </w:tcBorders>
            <w:shd w:val="clear" w:color="auto" w:fill="EAEAEA"/>
            <w:hideMark/>
          </w:tcPr>
          <w:p w:rsidR="00A64035" w:rsidRPr="007D49C6" w:rsidRDefault="00A64035" w:rsidP="0075074A">
            <w:pPr>
              <w:rPr>
                <w:rFonts w:cs="Arial"/>
                <w:sz w:val="22"/>
                <w:szCs w:val="22"/>
              </w:rPr>
            </w:pPr>
            <w:r w:rsidRPr="007D49C6">
              <w:rPr>
                <w:rFonts w:cs="Arial"/>
                <w:sz w:val="22"/>
                <w:szCs w:val="22"/>
              </w:rPr>
              <w:t xml:space="preserve">           z toho úspěšně</w:t>
            </w:r>
          </w:p>
        </w:tc>
        <w:tc>
          <w:tcPr>
            <w:tcW w:w="1597" w:type="dxa"/>
            <w:tcBorders>
              <w:top w:val="single" w:sz="4" w:space="0" w:color="auto"/>
              <w:left w:val="nil"/>
              <w:bottom w:val="double" w:sz="4" w:space="0" w:color="auto"/>
              <w:right w:val="sing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c>
          <w:tcPr>
            <w:tcW w:w="1597" w:type="dxa"/>
            <w:tcBorders>
              <w:top w:val="single" w:sz="4" w:space="0" w:color="auto"/>
              <w:left w:val="single" w:sz="4" w:space="0" w:color="auto"/>
              <w:bottom w:val="double" w:sz="4" w:space="0" w:color="auto"/>
              <w:right w:val="double" w:sz="4" w:space="0" w:color="auto"/>
            </w:tcBorders>
            <w:vAlign w:val="center"/>
            <w:hideMark/>
          </w:tcPr>
          <w:p w:rsidR="00A64035" w:rsidRPr="007D49C6" w:rsidRDefault="00A64035" w:rsidP="0075074A">
            <w:pPr>
              <w:ind w:right="454"/>
              <w:jc w:val="right"/>
              <w:rPr>
                <w:rFonts w:cs="Arial"/>
                <w:sz w:val="22"/>
                <w:szCs w:val="22"/>
              </w:rPr>
            </w:pPr>
            <w:r w:rsidRPr="007D49C6">
              <w:rPr>
                <w:rFonts w:cs="Arial"/>
                <w:sz w:val="22"/>
                <w:szCs w:val="22"/>
              </w:rPr>
              <w:t>0</w:t>
            </w:r>
          </w:p>
        </w:tc>
      </w:tr>
    </w:tbl>
    <w:p w:rsidR="00A64035" w:rsidRPr="007D49C6"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A64035">
      <w:pPr>
        <w:rPr>
          <w:rFonts w:cs="Arial"/>
          <w:sz w:val="22"/>
          <w:szCs w:val="22"/>
        </w:rPr>
      </w:pPr>
    </w:p>
    <w:p w:rsidR="00A64035" w:rsidRDefault="00A64035" w:rsidP="00557F1F">
      <w:pPr>
        <w:pStyle w:val="Nadpis2"/>
        <w:numPr>
          <w:ilvl w:val="1"/>
          <w:numId w:val="3"/>
        </w:numPr>
      </w:pPr>
      <w:r>
        <w:lastRenderedPageBreak/>
        <w:t>PROGNÓZA VÝVOJE TRHU PRÁCE V DALŠÍM OBDOBÍ</w:t>
      </w:r>
    </w:p>
    <w:p w:rsidR="00A64035" w:rsidRDefault="00A64035" w:rsidP="0075074A">
      <w:pPr>
        <w:pStyle w:val="Nadpis3"/>
      </w:pPr>
      <w:r>
        <w:t xml:space="preserve">Přepokládaný vývoj trhu práce, včetně celorepublikových a místních faktorů, které </w:t>
      </w:r>
      <w:r>
        <w:br/>
        <w:t>ho ovlivňují</w:t>
      </w:r>
    </w:p>
    <w:p w:rsidR="00A64035" w:rsidRPr="007D49C6" w:rsidRDefault="00A64035" w:rsidP="00A64035">
      <w:pPr>
        <w:rPr>
          <w:lang w:eastAsia="x-none"/>
        </w:rPr>
      </w:pPr>
    </w:p>
    <w:p w:rsidR="00A64035" w:rsidRPr="007D49C6" w:rsidRDefault="00A64035" w:rsidP="00557F1F">
      <w:pPr>
        <w:numPr>
          <w:ilvl w:val="0"/>
          <w:numId w:val="25"/>
        </w:numPr>
        <w:ind w:left="723"/>
        <w:rPr>
          <w:rFonts w:cs="Arial"/>
          <w:sz w:val="22"/>
          <w:szCs w:val="22"/>
        </w:rPr>
      </w:pPr>
      <w:r>
        <w:rPr>
          <w:rFonts w:cs="Arial"/>
          <w:sz w:val="22"/>
          <w:szCs w:val="22"/>
        </w:rPr>
        <w:t>Z</w:t>
      </w:r>
      <w:r w:rsidRPr="007D49C6">
        <w:rPr>
          <w:rFonts w:cs="Arial"/>
          <w:sz w:val="22"/>
          <w:szCs w:val="22"/>
        </w:rPr>
        <w:t>ákladním předpokládaným trendem  zaměstnanosti v okrese Chomutov pro rok 2012 je stagnace, v případě pesimistického scénáře mírný pokles</w:t>
      </w:r>
      <w:r>
        <w:rPr>
          <w:rFonts w:cs="Arial"/>
          <w:sz w:val="22"/>
          <w:szCs w:val="22"/>
        </w:rPr>
        <w:t>.</w:t>
      </w:r>
    </w:p>
    <w:p w:rsidR="00A64035" w:rsidRPr="007D49C6" w:rsidRDefault="00A64035" w:rsidP="00557F1F">
      <w:pPr>
        <w:numPr>
          <w:ilvl w:val="0"/>
          <w:numId w:val="25"/>
        </w:numPr>
        <w:ind w:left="723"/>
        <w:rPr>
          <w:rFonts w:cs="Arial"/>
          <w:sz w:val="22"/>
          <w:szCs w:val="22"/>
        </w:rPr>
      </w:pPr>
      <w:r>
        <w:rPr>
          <w:rFonts w:cs="Arial"/>
          <w:sz w:val="22"/>
          <w:szCs w:val="22"/>
        </w:rPr>
        <w:t>P</w:t>
      </w:r>
      <w:r w:rsidRPr="007D49C6">
        <w:rPr>
          <w:rFonts w:cs="Arial"/>
          <w:sz w:val="22"/>
          <w:szCs w:val="22"/>
        </w:rPr>
        <w:t xml:space="preserve">řevažující strategií podniků v rozhodujících odvětvích sekundárního sektoru </w:t>
      </w:r>
      <w:r w:rsidR="0075074A">
        <w:rPr>
          <w:rFonts w:cs="Arial"/>
          <w:sz w:val="22"/>
          <w:szCs w:val="22"/>
        </w:rPr>
        <w:br/>
      </w:r>
      <w:r w:rsidRPr="007D49C6">
        <w:rPr>
          <w:rFonts w:cs="Arial"/>
          <w:sz w:val="22"/>
          <w:szCs w:val="22"/>
        </w:rPr>
        <w:t>a zpracovatelského průmyslu (výroba základních kovů a kovových konstrukcí, výroba pryžových a plastových výrobků, výroba ostatních nekovových minerálních výrobků, výroba strojů a výroba elektrických zařízení) je schopnost po provedených potřebných organizačních a personálních opatření v roce 2009 až 2011, vynucených celosvětovou hospodářskou a finanční krizí, udržet zaměstnanost na stávající úrovni a stabilizovat objem výroby (postupná stabilizace zaměstnanosti)</w:t>
      </w:r>
      <w:r>
        <w:rPr>
          <w:rFonts w:cs="Arial"/>
          <w:sz w:val="22"/>
          <w:szCs w:val="22"/>
        </w:rPr>
        <w:t>.</w:t>
      </w:r>
    </w:p>
    <w:p w:rsidR="00A64035" w:rsidRPr="007D49C6" w:rsidRDefault="00A64035" w:rsidP="00557F1F">
      <w:pPr>
        <w:numPr>
          <w:ilvl w:val="0"/>
          <w:numId w:val="25"/>
        </w:numPr>
        <w:ind w:left="723"/>
        <w:rPr>
          <w:rFonts w:cs="Arial"/>
          <w:color w:val="000000"/>
          <w:sz w:val="22"/>
          <w:szCs w:val="22"/>
        </w:rPr>
      </w:pPr>
      <w:r>
        <w:rPr>
          <w:rFonts w:cs="Arial"/>
          <w:color w:val="000000"/>
          <w:sz w:val="22"/>
          <w:szCs w:val="22"/>
        </w:rPr>
        <w:t>V</w:t>
      </w:r>
      <w:r w:rsidRPr="007D49C6">
        <w:rPr>
          <w:rFonts w:cs="Arial"/>
          <w:color w:val="000000"/>
          <w:sz w:val="22"/>
          <w:szCs w:val="22"/>
        </w:rPr>
        <w:t> průběhu 1. pololetí 2012 lze očekávat tradiční růst dosud stagnujícího odvětví stavebnictví (s prvky sezónního charakteru prací); naopak signály mírného poklesu jsou patrné v odvětví obchodu (stavy zaměstnanců v závislosti na obratech)</w:t>
      </w:r>
      <w:r>
        <w:rPr>
          <w:rFonts w:cs="Arial"/>
          <w:color w:val="000000"/>
          <w:sz w:val="22"/>
          <w:szCs w:val="22"/>
        </w:rPr>
        <w:t>.</w:t>
      </w:r>
    </w:p>
    <w:p w:rsidR="00A64035" w:rsidRDefault="00A64035" w:rsidP="00557F1F">
      <w:pPr>
        <w:numPr>
          <w:ilvl w:val="0"/>
          <w:numId w:val="25"/>
        </w:numPr>
        <w:ind w:left="723"/>
        <w:rPr>
          <w:rFonts w:cs="Arial"/>
          <w:snapToGrid w:val="0"/>
          <w:sz w:val="22"/>
          <w:szCs w:val="22"/>
        </w:rPr>
      </w:pPr>
      <w:r>
        <w:rPr>
          <w:rFonts w:cs="Arial"/>
          <w:color w:val="000000"/>
          <w:sz w:val="22"/>
          <w:szCs w:val="22"/>
        </w:rPr>
        <w:t>V</w:t>
      </w:r>
      <w:r w:rsidRPr="007D49C6">
        <w:rPr>
          <w:rFonts w:cs="Arial"/>
          <w:color w:val="000000"/>
          <w:sz w:val="22"/>
          <w:szCs w:val="22"/>
        </w:rPr>
        <w:t>e druhém pololetí 2011 prognózy vývoje trhu práce signalizují  mírný pokles pracovní síly v závislosti na útlumu zemědělských a stavebních činností</w:t>
      </w:r>
      <w:r>
        <w:rPr>
          <w:rFonts w:cs="Arial"/>
          <w:color w:val="000000"/>
          <w:sz w:val="22"/>
          <w:szCs w:val="22"/>
        </w:rPr>
        <w:t>.</w:t>
      </w:r>
    </w:p>
    <w:p w:rsidR="00A64035" w:rsidRPr="004843EA" w:rsidRDefault="00A64035" w:rsidP="00557F1F">
      <w:pPr>
        <w:numPr>
          <w:ilvl w:val="0"/>
          <w:numId w:val="25"/>
        </w:numPr>
        <w:ind w:left="723"/>
        <w:rPr>
          <w:rFonts w:cs="Arial"/>
          <w:snapToGrid w:val="0"/>
          <w:sz w:val="22"/>
          <w:szCs w:val="22"/>
        </w:rPr>
      </w:pPr>
      <w:r>
        <w:rPr>
          <w:rFonts w:cs="Arial"/>
          <w:snapToGrid w:val="0"/>
          <w:sz w:val="22"/>
          <w:szCs w:val="22"/>
        </w:rPr>
        <w:t>V</w:t>
      </w:r>
      <w:r w:rsidRPr="004843EA">
        <w:rPr>
          <w:rFonts w:cs="Arial"/>
          <w:snapToGrid w:val="0"/>
          <w:sz w:val="22"/>
          <w:szCs w:val="22"/>
        </w:rPr>
        <w:t> roce 2012 neočekáváme nárůst počtu povolení k zaměstnání oproti konci roku 2011</w:t>
      </w:r>
      <w:r>
        <w:rPr>
          <w:rFonts w:cs="Arial"/>
          <w:snapToGrid w:val="0"/>
          <w:sz w:val="22"/>
          <w:szCs w:val="22"/>
        </w:rPr>
        <w:t>.</w:t>
      </w:r>
    </w:p>
    <w:p w:rsidR="00A64035" w:rsidRPr="00463430" w:rsidRDefault="00A64035" w:rsidP="00A64035">
      <w:pPr>
        <w:rPr>
          <w:rFonts w:cs="Arial"/>
          <w:sz w:val="22"/>
          <w:szCs w:val="22"/>
        </w:rPr>
      </w:pPr>
    </w:p>
    <w:p w:rsidR="00A64035" w:rsidRDefault="00A64035" w:rsidP="0075074A">
      <w:pPr>
        <w:pStyle w:val="Nadpis3"/>
      </w:pPr>
      <w:r>
        <w:t>Vývoj nezaměstnanosti</w:t>
      </w:r>
    </w:p>
    <w:p w:rsidR="00A64035" w:rsidRPr="007D49C6" w:rsidRDefault="00A64035" w:rsidP="00A64035">
      <w:pPr>
        <w:rPr>
          <w:lang w:eastAsia="x-none"/>
        </w:rPr>
      </w:pPr>
    </w:p>
    <w:tbl>
      <w:tblPr>
        <w:tblW w:w="907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347"/>
        <w:gridCol w:w="1275"/>
        <w:gridCol w:w="1302"/>
        <w:gridCol w:w="1288"/>
        <w:gridCol w:w="1237"/>
        <w:gridCol w:w="1338"/>
        <w:gridCol w:w="1288"/>
      </w:tblGrid>
      <w:tr w:rsidR="00A64035" w:rsidTr="0075074A">
        <w:trPr>
          <w:cantSplit/>
        </w:trPr>
        <w:tc>
          <w:tcPr>
            <w:tcW w:w="1347" w:type="dxa"/>
            <w:vMerge w:val="restart"/>
            <w:tcBorders>
              <w:top w:val="double" w:sz="4" w:space="0" w:color="auto"/>
              <w:left w:val="double" w:sz="4" w:space="0" w:color="auto"/>
              <w:bottom w:val="double" w:sz="4" w:space="0" w:color="auto"/>
              <w:right w:val="single" w:sz="12" w:space="0" w:color="auto"/>
            </w:tcBorders>
            <w:shd w:val="clear" w:color="auto" w:fill="A6A6A6"/>
            <w:vAlign w:val="center"/>
            <w:hideMark/>
          </w:tcPr>
          <w:p w:rsidR="00A64035" w:rsidRPr="007D49C6" w:rsidRDefault="00A64035" w:rsidP="0075074A">
            <w:pPr>
              <w:jc w:val="center"/>
              <w:rPr>
                <w:rFonts w:cs="Arial"/>
                <w:b/>
                <w:bCs/>
                <w:sz w:val="22"/>
                <w:szCs w:val="22"/>
              </w:rPr>
            </w:pPr>
            <w:r w:rsidRPr="007D49C6">
              <w:rPr>
                <w:rFonts w:cs="Arial"/>
                <w:b/>
                <w:bCs/>
                <w:sz w:val="22"/>
                <w:szCs w:val="22"/>
              </w:rPr>
              <w:t>očekávaný stav k</w:t>
            </w:r>
          </w:p>
        </w:tc>
        <w:tc>
          <w:tcPr>
            <w:tcW w:w="3865" w:type="dxa"/>
            <w:gridSpan w:val="3"/>
            <w:tcBorders>
              <w:top w:val="double" w:sz="4" w:space="0" w:color="auto"/>
              <w:left w:val="single" w:sz="12" w:space="0" w:color="auto"/>
              <w:bottom w:val="single" w:sz="4" w:space="0" w:color="auto"/>
              <w:right w:val="single" w:sz="12" w:space="0" w:color="auto"/>
            </w:tcBorders>
            <w:shd w:val="clear" w:color="auto" w:fill="A6A6A6"/>
            <w:vAlign w:val="center"/>
            <w:hideMark/>
          </w:tcPr>
          <w:p w:rsidR="00A64035" w:rsidRPr="007D49C6" w:rsidRDefault="00A64035" w:rsidP="0075074A">
            <w:pPr>
              <w:jc w:val="center"/>
              <w:rPr>
                <w:rFonts w:cs="Arial"/>
                <w:b/>
                <w:bCs/>
                <w:sz w:val="22"/>
                <w:szCs w:val="22"/>
              </w:rPr>
            </w:pPr>
            <w:r w:rsidRPr="007D49C6">
              <w:rPr>
                <w:rFonts w:cs="Arial"/>
                <w:b/>
                <w:bCs/>
                <w:sz w:val="22"/>
                <w:szCs w:val="22"/>
              </w:rPr>
              <w:t>mírnější varianta</w:t>
            </w:r>
          </w:p>
        </w:tc>
        <w:tc>
          <w:tcPr>
            <w:tcW w:w="3863" w:type="dxa"/>
            <w:gridSpan w:val="3"/>
            <w:tcBorders>
              <w:top w:val="double" w:sz="4" w:space="0" w:color="auto"/>
              <w:left w:val="single" w:sz="12" w:space="0" w:color="auto"/>
              <w:bottom w:val="single" w:sz="4" w:space="0" w:color="auto"/>
              <w:right w:val="double" w:sz="4" w:space="0" w:color="auto"/>
            </w:tcBorders>
            <w:shd w:val="clear" w:color="auto" w:fill="A6A6A6"/>
            <w:vAlign w:val="center"/>
            <w:hideMark/>
          </w:tcPr>
          <w:p w:rsidR="00A64035" w:rsidRPr="007D49C6" w:rsidRDefault="00A64035" w:rsidP="0075074A">
            <w:pPr>
              <w:jc w:val="center"/>
              <w:rPr>
                <w:rFonts w:cs="Arial"/>
                <w:b/>
                <w:bCs/>
                <w:sz w:val="22"/>
                <w:szCs w:val="22"/>
              </w:rPr>
            </w:pPr>
            <w:r w:rsidRPr="007D49C6">
              <w:rPr>
                <w:rFonts w:cs="Arial"/>
                <w:b/>
                <w:bCs/>
                <w:sz w:val="22"/>
                <w:szCs w:val="22"/>
              </w:rPr>
              <w:t>pesimističtější varianta</w:t>
            </w:r>
          </w:p>
        </w:tc>
      </w:tr>
      <w:tr w:rsidR="00A64035" w:rsidTr="0075074A">
        <w:trPr>
          <w:cantSplit/>
          <w:trHeight w:val="816"/>
        </w:trPr>
        <w:tc>
          <w:tcPr>
            <w:tcW w:w="1347" w:type="dxa"/>
            <w:vMerge/>
            <w:tcBorders>
              <w:top w:val="double" w:sz="4" w:space="0" w:color="auto"/>
              <w:left w:val="double" w:sz="4" w:space="0" w:color="auto"/>
              <w:bottom w:val="double" w:sz="4" w:space="0" w:color="auto"/>
              <w:right w:val="single" w:sz="12" w:space="0" w:color="auto"/>
            </w:tcBorders>
            <w:vAlign w:val="center"/>
            <w:hideMark/>
          </w:tcPr>
          <w:p w:rsidR="00A64035" w:rsidRPr="007D49C6" w:rsidRDefault="00A64035" w:rsidP="0075074A">
            <w:pPr>
              <w:rPr>
                <w:rFonts w:cs="Arial"/>
                <w:b/>
                <w:bCs/>
                <w:sz w:val="22"/>
                <w:szCs w:val="22"/>
              </w:rPr>
            </w:pPr>
          </w:p>
        </w:tc>
        <w:tc>
          <w:tcPr>
            <w:tcW w:w="1275" w:type="dxa"/>
            <w:tcBorders>
              <w:top w:val="single" w:sz="4" w:space="0" w:color="auto"/>
              <w:left w:val="single" w:sz="12" w:space="0" w:color="auto"/>
              <w:bottom w:val="double" w:sz="4" w:space="0" w:color="auto"/>
              <w:right w:val="single" w:sz="4" w:space="0" w:color="auto"/>
            </w:tcBorders>
            <w:shd w:val="clear" w:color="auto" w:fill="A6A6A6"/>
            <w:vAlign w:val="center"/>
            <w:hideMark/>
          </w:tcPr>
          <w:p w:rsidR="00A64035" w:rsidRPr="007D49C6" w:rsidRDefault="00A64035" w:rsidP="0075074A">
            <w:pPr>
              <w:jc w:val="center"/>
              <w:rPr>
                <w:rFonts w:cs="Arial"/>
                <w:b/>
                <w:bCs/>
                <w:sz w:val="22"/>
                <w:szCs w:val="22"/>
              </w:rPr>
            </w:pPr>
            <w:r w:rsidRPr="007D49C6">
              <w:rPr>
                <w:rFonts w:cs="Arial"/>
                <w:b/>
                <w:bCs/>
                <w:sz w:val="22"/>
                <w:szCs w:val="22"/>
              </w:rPr>
              <w:t>počet uchazečů</w:t>
            </w:r>
          </w:p>
          <w:p w:rsidR="00A64035" w:rsidRPr="007D49C6" w:rsidRDefault="00A64035" w:rsidP="0075074A">
            <w:pPr>
              <w:jc w:val="center"/>
              <w:rPr>
                <w:rFonts w:cs="Arial"/>
                <w:b/>
                <w:bCs/>
                <w:sz w:val="22"/>
                <w:szCs w:val="22"/>
              </w:rPr>
            </w:pPr>
            <w:r w:rsidRPr="007D49C6">
              <w:rPr>
                <w:rFonts w:cs="Arial"/>
                <w:b/>
                <w:bCs/>
                <w:sz w:val="22"/>
                <w:szCs w:val="22"/>
              </w:rPr>
              <w:t>celkem</w:t>
            </w:r>
          </w:p>
        </w:tc>
        <w:tc>
          <w:tcPr>
            <w:tcW w:w="1302" w:type="dxa"/>
            <w:tcBorders>
              <w:top w:val="single" w:sz="4" w:space="0" w:color="auto"/>
              <w:left w:val="single" w:sz="4" w:space="0" w:color="auto"/>
              <w:bottom w:val="double" w:sz="4" w:space="0" w:color="auto"/>
              <w:right w:val="single" w:sz="12" w:space="0" w:color="auto"/>
            </w:tcBorders>
            <w:shd w:val="clear" w:color="auto" w:fill="A6A6A6"/>
            <w:vAlign w:val="center"/>
            <w:hideMark/>
          </w:tcPr>
          <w:p w:rsidR="00A64035" w:rsidRPr="007D49C6" w:rsidRDefault="00A64035" w:rsidP="0075074A">
            <w:pPr>
              <w:jc w:val="center"/>
              <w:rPr>
                <w:rFonts w:cs="Arial"/>
                <w:b/>
                <w:bCs/>
                <w:sz w:val="22"/>
                <w:szCs w:val="22"/>
              </w:rPr>
            </w:pPr>
            <w:r w:rsidRPr="007D49C6">
              <w:rPr>
                <w:rFonts w:cs="Arial"/>
                <w:b/>
                <w:bCs/>
                <w:sz w:val="22"/>
                <w:szCs w:val="22"/>
              </w:rPr>
              <w:t>z toho dosažitelní</w:t>
            </w:r>
          </w:p>
        </w:tc>
        <w:tc>
          <w:tcPr>
            <w:tcW w:w="1288" w:type="dxa"/>
            <w:tcBorders>
              <w:top w:val="single" w:sz="4" w:space="0" w:color="auto"/>
              <w:left w:val="single" w:sz="12" w:space="0" w:color="auto"/>
              <w:bottom w:val="double" w:sz="4" w:space="0" w:color="auto"/>
              <w:right w:val="single" w:sz="12" w:space="0" w:color="auto"/>
            </w:tcBorders>
            <w:shd w:val="clear" w:color="auto" w:fill="A6A6A6"/>
            <w:vAlign w:val="center"/>
            <w:hideMark/>
          </w:tcPr>
          <w:p w:rsidR="00A64035" w:rsidRPr="007D49C6" w:rsidRDefault="00A64035" w:rsidP="0075074A">
            <w:pPr>
              <w:jc w:val="center"/>
              <w:rPr>
                <w:rFonts w:cs="Arial"/>
                <w:b/>
                <w:bCs/>
                <w:sz w:val="22"/>
                <w:szCs w:val="22"/>
              </w:rPr>
            </w:pPr>
            <w:r w:rsidRPr="007D49C6">
              <w:rPr>
                <w:rFonts w:cs="Arial"/>
                <w:b/>
                <w:bCs/>
                <w:sz w:val="22"/>
                <w:szCs w:val="22"/>
              </w:rPr>
              <w:t xml:space="preserve">MN v % </w:t>
            </w:r>
          </w:p>
        </w:tc>
        <w:tc>
          <w:tcPr>
            <w:tcW w:w="1237" w:type="dxa"/>
            <w:tcBorders>
              <w:top w:val="single" w:sz="4" w:space="0" w:color="auto"/>
              <w:left w:val="single" w:sz="12" w:space="0" w:color="auto"/>
              <w:bottom w:val="double" w:sz="4" w:space="0" w:color="auto"/>
              <w:right w:val="single" w:sz="4" w:space="0" w:color="auto"/>
            </w:tcBorders>
            <w:shd w:val="clear" w:color="auto" w:fill="A6A6A6"/>
            <w:vAlign w:val="center"/>
            <w:hideMark/>
          </w:tcPr>
          <w:p w:rsidR="00A64035" w:rsidRPr="007D49C6" w:rsidRDefault="00A64035" w:rsidP="0075074A">
            <w:pPr>
              <w:jc w:val="center"/>
              <w:rPr>
                <w:rFonts w:cs="Arial"/>
                <w:b/>
                <w:bCs/>
                <w:sz w:val="22"/>
                <w:szCs w:val="22"/>
              </w:rPr>
            </w:pPr>
            <w:r w:rsidRPr="007D49C6">
              <w:rPr>
                <w:rFonts w:cs="Arial"/>
                <w:b/>
                <w:bCs/>
                <w:sz w:val="22"/>
                <w:szCs w:val="22"/>
              </w:rPr>
              <w:t>počet uchazečů celkem</w:t>
            </w:r>
          </w:p>
        </w:tc>
        <w:tc>
          <w:tcPr>
            <w:tcW w:w="1338" w:type="dxa"/>
            <w:tcBorders>
              <w:top w:val="single" w:sz="4" w:space="0" w:color="auto"/>
              <w:left w:val="single" w:sz="4" w:space="0" w:color="auto"/>
              <w:bottom w:val="double" w:sz="4" w:space="0" w:color="auto"/>
              <w:right w:val="single" w:sz="12" w:space="0" w:color="auto"/>
            </w:tcBorders>
            <w:shd w:val="clear" w:color="auto" w:fill="A6A6A6"/>
            <w:vAlign w:val="center"/>
            <w:hideMark/>
          </w:tcPr>
          <w:p w:rsidR="00A64035" w:rsidRPr="007D49C6" w:rsidRDefault="00A64035" w:rsidP="0075074A">
            <w:pPr>
              <w:jc w:val="center"/>
              <w:rPr>
                <w:rFonts w:cs="Arial"/>
                <w:b/>
                <w:bCs/>
                <w:sz w:val="22"/>
                <w:szCs w:val="22"/>
              </w:rPr>
            </w:pPr>
            <w:r w:rsidRPr="007D49C6">
              <w:rPr>
                <w:rFonts w:cs="Arial"/>
                <w:b/>
                <w:bCs/>
                <w:sz w:val="22"/>
                <w:szCs w:val="22"/>
              </w:rPr>
              <w:t>z toho dosažitelní</w:t>
            </w:r>
          </w:p>
        </w:tc>
        <w:tc>
          <w:tcPr>
            <w:tcW w:w="1288" w:type="dxa"/>
            <w:tcBorders>
              <w:top w:val="single" w:sz="4" w:space="0" w:color="auto"/>
              <w:left w:val="single" w:sz="12" w:space="0" w:color="auto"/>
              <w:bottom w:val="double" w:sz="4" w:space="0" w:color="auto"/>
              <w:right w:val="double" w:sz="4" w:space="0" w:color="auto"/>
            </w:tcBorders>
            <w:shd w:val="clear" w:color="auto" w:fill="A6A6A6"/>
            <w:vAlign w:val="center"/>
            <w:hideMark/>
          </w:tcPr>
          <w:p w:rsidR="00A64035" w:rsidRPr="007D49C6" w:rsidRDefault="00A64035" w:rsidP="0075074A">
            <w:pPr>
              <w:jc w:val="center"/>
              <w:rPr>
                <w:rFonts w:cs="Arial"/>
                <w:b/>
                <w:bCs/>
                <w:sz w:val="22"/>
                <w:szCs w:val="22"/>
              </w:rPr>
            </w:pPr>
            <w:r w:rsidRPr="007D49C6">
              <w:rPr>
                <w:rFonts w:cs="Arial"/>
                <w:b/>
                <w:bCs/>
                <w:sz w:val="22"/>
                <w:szCs w:val="22"/>
              </w:rPr>
              <w:t xml:space="preserve">MN v % </w:t>
            </w:r>
          </w:p>
        </w:tc>
      </w:tr>
      <w:tr w:rsidR="00A64035" w:rsidTr="0075074A">
        <w:trPr>
          <w:cantSplit/>
          <w:trHeight w:val="600"/>
        </w:trPr>
        <w:tc>
          <w:tcPr>
            <w:tcW w:w="1347" w:type="dxa"/>
            <w:tcBorders>
              <w:top w:val="double" w:sz="4" w:space="0" w:color="auto"/>
              <w:left w:val="double" w:sz="4" w:space="0" w:color="auto"/>
              <w:bottom w:val="single" w:sz="4" w:space="0" w:color="auto"/>
              <w:right w:val="single" w:sz="12" w:space="0" w:color="auto"/>
            </w:tcBorders>
            <w:shd w:val="clear" w:color="auto" w:fill="E6E6E6"/>
            <w:noWrap/>
            <w:vAlign w:val="center"/>
            <w:hideMark/>
          </w:tcPr>
          <w:p w:rsidR="00A64035" w:rsidRPr="007D49C6" w:rsidRDefault="00A64035" w:rsidP="0075074A">
            <w:pPr>
              <w:jc w:val="center"/>
              <w:rPr>
                <w:rFonts w:cs="Arial"/>
                <w:sz w:val="22"/>
                <w:szCs w:val="22"/>
              </w:rPr>
            </w:pPr>
            <w:r w:rsidRPr="007D49C6">
              <w:rPr>
                <w:rFonts w:cs="Arial"/>
                <w:sz w:val="22"/>
                <w:szCs w:val="22"/>
              </w:rPr>
              <w:t>30. 6. 2012</w:t>
            </w:r>
          </w:p>
        </w:tc>
        <w:tc>
          <w:tcPr>
            <w:tcW w:w="1275" w:type="dxa"/>
            <w:tcBorders>
              <w:top w:val="double" w:sz="4" w:space="0" w:color="auto"/>
              <w:left w:val="single" w:sz="12" w:space="0" w:color="auto"/>
              <w:bottom w:val="single" w:sz="4" w:space="0" w:color="auto"/>
              <w:right w:val="single" w:sz="4" w:space="0" w:color="auto"/>
            </w:tcBorders>
            <w:vAlign w:val="bottom"/>
            <w:hideMark/>
          </w:tcPr>
          <w:p w:rsidR="00A64035" w:rsidRPr="007D49C6" w:rsidRDefault="00A64035" w:rsidP="0075074A">
            <w:pPr>
              <w:spacing w:line="360" w:lineRule="auto"/>
              <w:jc w:val="center"/>
              <w:rPr>
                <w:rFonts w:cs="Arial"/>
                <w:sz w:val="22"/>
                <w:szCs w:val="22"/>
              </w:rPr>
            </w:pPr>
            <w:r w:rsidRPr="007D49C6">
              <w:rPr>
                <w:rFonts w:cs="Arial"/>
                <w:sz w:val="22"/>
                <w:szCs w:val="22"/>
              </w:rPr>
              <w:t>8 600</w:t>
            </w:r>
          </w:p>
        </w:tc>
        <w:tc>
          <w:tcPr>
            <w:tcW w:w="1302" w:type="dxa"/>
            <w:tcBorders>
              <w:top w:val="double" w:sz="4" w:space="0" w:color="auto"/>
              <w:left w:val="single" w:sz="4" w:space="0" w:color="auto"/>
              <w:bottom w:val="single" w:sz="4" w:space="0" w:color="auto"/>
              <w:right w:val="single" w:sz="12" w:space="0" w:color="auto"/>
            </w:tcBorders>
            <w:vAlign w:val="bottom"/>
            <w:hideMark/>
          </w:tcPr>
          <w:p w:rsidR="00A64035" w:rsidRPr="007D49C6" w:rsidRDefault="00A64035" w:rsidP="0075074A">
            <w:pPr>
              <w:spacing w:line="360" w:lineRule="auto"/>
              <w:jc w:val="center"/>
              <w:rPr>
                <w:rFonts w:cs="Arial"/>
                <w:sz w:val="22"/>
                <w:szCs w:val="22"/>
              </w:rPr>
            </w:pPr>
            <w:r w:rsidRPr="007D49C6">
              <w:rPr>
                <w:rFonts w:cs="Arial"/>
                <w:sz w:val="22"/>
                <w:szCs w:val="22"/>
              </w:rPr>
              <w:t>8 450</w:t>
            </w:r>
          </w:p>
        </w:tc>
        <w:tc>
          <w:tcPr>
            <w:tcW w:w="1288" w:type="dxa"/>
            <w:tcBorders>
              <w:top w:val="double" w:sz="4" w:space="0" w:color="auto"/>
              <w:left w:val="single" w:sz="12" w:space="0" w:color="auto"/>
              <w:bottom w:val="single" w:sz="4" w:space="0" w:color="auto"/>
              <w:right w:val="single" w:sz="12" w:space="0" w:color="auto"/>
            </w:tcBorders>
            <w:vAlign w:val="bottom"/>
            <w:hideMark/>
          </w:tcPr>
          <w:p w:rsidR="00A64035" w:rsidRPr="007D49C6" w:rsidRDefault="00A64035" w:rsidP="0075074A">
            <w:pPr>
              <w:spacing w:line="360" w:lineRule="auto"/>
              <w:jc w:val="center"/>
              <w:rPr>
                <w:rFonts w:cs="Arial"/>
                <w:sz w:val="22"/>
                <w:szCs w:val="22"/>
              </w:rPr>
            </w:pPr>
            <w:r w:rsidRPr="007D49C6">
              <w:rPr>
                <w:rFonts w:cs="Arial"/>
                <w:sz w:val="22"/>
                <w:szCs w:val="22"/>
              </w:rPr>
              <w:t>12,5</w:t>
            </w:r>
          </w:p>
        </w:tc>
        <w:tc>
          <w:tcPr>
            <w:tcW w:w="1237" w:type="dxa"/>
            <w:tcBorders>
              <w:top w:val="double" w:sz="4" w:space="0" w:color="auto"/>
              <w:left w:val="single" w:sz="12" w:space="0" w:color="auto"/>
              <w:bottom w:val="single" w:sz="4" w:space="0" w:color="auto"/>
              <w:right w:val="single" w:sz="4" w:space="0" w:color="auto"/>
            </w:tcBorders>
            <w:vAlign w:val="bottom"/>
            <w:hideMark/>
          </w:tcPr>
          <w:p w:rsidR="00A64035" w:rsidRPr="007D49C6" w:rsidRDefault="00A64035" w:rsidP="0075074A">
            <w:pPr>
              <w:spacing w:line="360" w:lineRule="auto"/>
              <w:jc w:val="center"/>
              <w:rPr>
                <w:rFonts w:cs="Arial"/>
                <w:sz w:val="22"/>
                <w:szCs w:val="22"/>
              </w:rPr>
            </w:pPr>
            <w:r w:rsidRPr="007D49C6">
              <w:rPr>
                <w:rFonts w:cs="Arial"/>
                <w:sz w:val="22"/>
                <w:szCs w:val="22"/>
              </w:rPr>
              <w:t>8900</w:t>
            </w:r>
          </w:p>
        </w:tc>
        <w:tc>
          <w:tcPr>
            <w:tcW w:w="1338" w:type="dxa"/>
            <w:tcBorders>
              <w:top w:val="double" w:sz="4" w:space="0" w:color="auto"/>
              <w:left w:val="single" w:sz="4" w:space="0" w:color="auto"/>
              <w:bottom w:val="single" w:sz="4" w:space="0" w:color="auto"/>
              <w:right w:val="single" w:sz="12" w:space="0" w:color="auto"/>
            </w:tcBorders>
            <w:vAlign w:val="bottom"/>
            <w:hideMark/>
          </w:tcPr>
          <w:p w:rsidR="00A64035" w:rsidRPr="007D49C6" w:rsidRDefault="00A64035" w:rsidP="0075074A">
            <w:pPr>
              <w:spacing w:line="360" w:lineRule="auto"/>
              <w:jc w:val="center"/>
              <w:rPr>
                <w:rFonts w:cs="Arial"/>
                <w:sz w:val="22"/>
                <w:szCs w:val="22"/>
              </w:rPr>
            </w:pPr>
            <w:r w:rsidRPr="007D49C6">
              <w:rPr>
                <w:rFonts w:cs="Arial"/>
                <w:sz w:val="22"/>
                <w:szCs w:val="22"/>
              </w:rPr>
              <w:t>8750</w:t>
            </w:r>
          </w:p>
        </w:tc>
        <w:tc>
          <w:tcPr>
            <w:tcW w:w="1288" w:type="dxa"/>
            <w:tcBorders>
              <w:top w:val="double" w:sz="4" w:space="0" w:color="auto"/>
              <w:left w:val="single" w:sz="12" w:space="0" w:color="auto"/>
              <w:bottom w:val="single" w:sz="4" w:space="0" w:color="auto"/>
              <w:right w:val="double" w:sz="4" w:space="0" w:color="auto"/>
            </w:tcBorders>
            <w:vAlign w:val="bottom"/>
            <w:hideMark/>
          </w:tcPr>
          <w:p w:rsidR="00A64035" w:rsidRPr="007D49C6" w:rsidRDefault="00A64035" w:rsidP="0075074A">
            <w:pPr>
              <w:spacing w:line="360" w:lineRule="auto"/>
              <w:jc w:val="center"/>
              <w:rPr>
                <w:rFonts w:cs="Arial"/>
                <w:sz w:val="22"/>
                <w:szCs w:val="22"/>
              </w:rPr>
            </w:pPr>
            <w:r w:rsidRPr="007D49C6">
              <w:rPr>
                <w:rFonts w:cs="Arial"/>
                <w:sz w:val="22"/>
                <w:szCs w:val="22"/>
              </w:rPr>
              <w:t>12,9</w:t>
            </w:r>
          </w:p>
        </w:tc>
      </w:tr>
    </w:tbl>
    <w:p w:rsidR="00A64035" w:rsidRDefault="00A64035" w:rsidP="00A64035">
      <w:pPr>
        <w:jc w:val="both"/>
        <w:rPr>
          <w:rFonts w:ascii="Calibri" w:hAnsi="Calibri" w:cs="Calibri"/>
          <w:b/>
          <w:caps/>
          <w:color w:val="0000FF"/>
          <w:sz w:val="22"/>
          <w:szCs w:val="22"/>
        </w:rPr>
      </w:pPr>
    </w:p>
    <w:p w:rsidR="00A64035" w:rsidRDefault="00A64035" w:rsidP="00557F1F">
      <w:pPr>
        <w:pStyle w:val="Nadpis2"/>
        <w:numPr>
          <w:ilvl w:val="1"/>
          <w:numId w:val="3"/>
        </w:numPr>
      </w:pPr>
      <w:r>
        <w:t>DOPORUČENÍ</w:t>
      </w:r>
    </w:p>
    <w:p w:rsidR="00A64035" w:rsidRDefault="00A64035" w:rsidP="00A64035"/>
    <w:p w:rsidR="00A64035" w:rsidRPr="007D49C6" w:rsidRDefault="00A64035" w:rsidP="00557F1F">
      <w:pPr>
        <w:pStyle w:val="Nadpis6"/>
        <w:keepNext/>
        <w:numPr>
          <w:ilvl w:val="0"/>
          <w:numId w:val="26"/>
        </w:numPr>
        <w:spacing w:before="0" w:after="0"/>
        <w:ind w:left="363"/>
        <w:rPr>
          <w:rFonts w:ascii="Arial" w:hAnsi="Arial" w:cs="Arial"/>
          <w:b w:val="0"/>
        </w:rPr>
      </w:pPr>
      <w:r>
        <w:rPr>
          <w:rFonts w:ascii="Arial" w:hAnsi="Arial" w:cs="Arial"/>
          <w:b w:val="0"/>
          <w:lang w:val="cs-CZ"/>
        </w:rPr>
        <w:t xml:space="preserve">Pokračovat v </w:t>
      </w:r>
      <w:r w:rsidRPr="007D49C6">
        <w:rPr>
          <w:rFonts w:ascii="Arial" w:hAnsi="Arial" w:cs="Arial"/>
          <w:b w:val="0"/>
        </w:rPr>
        <w:t>realizaci stávajících nástrojů APZ se zvláštním zřetelem na nástroje, které mohou reagovat na současné potřeby trhu práce a tím účinněji prosazovat rovnováhu mezi nabídkou a poptávkou na lokálním pracovním trhu. Realizovaná opatření v aktivní politice zaměstnanosti by měla vést zejména ke snižování nákladů na hledání</w:t>
      </w:r>
      <w:r>
        <w:rPr>
          <w:rFonts w:ascii="Arial" w:hAnsi="Arial" w:cs="Arial"/>
          <w:b w:val="0"/>
          <w:lang w:val="cs-CZ"/>
        </w:rPr>
        <w:t>.</w:t>
      </w:r>
      <w:r w:rsidRPr="007D49C6">
        <w:rPr>
          <w:rFonts w:ascii="Arial" w:hAnsi="Arial" w:cs="Arial"/>
          <w:b w:val="0"/>
        </w:rPr>
        <w:t xml:space="preserve"> zaměstnání a přizpůsobení pracovní síly požadavkům trhu práce (programy zvyšování motivace, programy pracovního výcviku a rekvalifikace) </w:t>
      </w:r>
    </w:p>
    <w:p w:rsidR="00A64035" w:rsidRPr="007D49C6" w:rsidRDefault="00A64035" w:rsidP="00557F1F">
      <w:pPr>
        <w:pStyle w:val="Nadpis6"/>
        <w:keepNext/>
        <w:numPr>
          <w:ilvl w:val="0"/>
          <w:numId w:val="26"/>
        </w:numPr>
        <w:spacing w:before="0" w:after="0"/>
        <w:ind w:left="363"/>
        <w:rPr>
          <w:rFonts w:ascii="Arial" w:hAnsi="Arial" w:cs="Arial"/>
          <w:b w:val="0"/>
        </w:rPr>
      </w:pPr>
      <w:r>
        <w:rPr>
          <w:rFonts w:ascii="Arial" w:hAnsi="Arial" w:cs="Arial"/>
          <w:b w:val="0"/>
          <w:lang w:val="cs-CZ"/>
        </w:rPr>
        <w:t>O</w:t>
      </w:r>
      <w:r w:rsidRPr="007D49C6">
        <w:rPr>
          <w:rFonts w:ascii="Arial" w:hAnsi="Arial" w:cs="Arial"/>
          <w:b w:val="0"/>
        </w:rPr>
        <w:t>patření APZ směrovat ve prospěch nejvíce ohrožených (rizikových) skupin nezaměstnaných, u kterých se předpokládá zlepšit celkovou zaměstnatelnost pracovní síly</w:t>
      </w:r>
      <w:r>
        <w:rPr>
          <w:rFonts w:ascii="Arial" w:hAnsi="Arial" w:cs="Arial"/>
          <w:b w:val="0"/>
          <w:lang w:val="cs-CZ"/>
        </w:rPr>
        <w:t>.</w:t>
      </w:r>
    </w:p>
    <w:p w:rsidR="00A64035" w:rsidRPr="007D49C6" w:rsidRDefault="00A64035" w:rsidP="00557F1F">
      <w:pPr>
        <w:numPr>
          <w:ilvl w:val="0"/>
          <w:numId w:val="26"/>
        </w:numPr>
        <w:ind w:left="363"/>
        <w:rPr>
          <w:rFonts w:cs="Arial"/>
          <w:sz w:val="22"/>
          <w:szCs w:val="22"/>
        </w:rPr>
      </w:pPr>
      <w:r>
        <w:rPr>
          <w:rFonts w:cs="Arial"/>
          <w:sz w:val="22"/>
          <w:szCs w:val="22"/>
        </w:rPr>
        <w:t>Z</w:t>
      </w:r>
      <w:r w:rsidRPr="007D49C6">
        <w:rPr>
          <w:rFonts w:cs="Arial"/>
          <w:sz w:val="22"/>
          <w:szCs w:val="22"/>
        </w:rPr>
        <w:t xml:space="preserve">výšit spolehlivost výběru osob do programů APZ, tzn. účastníky vybírat nejen </w:t>
      </w:r>
      <w:r>
        <w:rPr>
          <w:rFonts w:cs="Arial"/>
          <w:sz w:val="22"/>
          <w:szCs w:val="22"/>
        </w:rPr>
        <w:br/>
      </w:r>
      <w:r w:rsidRPr="007D49C6">
        <w:rPr>
          <w:rFonts w:cs="Arial"/>
          <w:sz w:val="22"/>
          <w:szCs w:val="22"/>
        </w:rPr>
        <w:t>na základě vnějších znaků jako je vzdělání, délka evidence atp., ale je nutné alokaci aktivit provádět na základě individuální práce s nezaměstnanými.</w:t>
      </w:r>
    </w:p>
    <w:p w:rsidR="00A64035" w:rsidRPr="007D49C6" w:rsidRDefault="00A64035" w:rsidP="00557F1F">
      <w:pPr>
        <w:numPr>
          <w:ilvl w:val="0"/>
          <w:numId w:val="26"/>
        </w:numPr>
        <w:ind w:left="363"/>
        <w:rPr>
          <w:rFonts w:cs="Arial"/>
          <w:sz w:val="22"/>
          <w:szCs w:val="22"/>
        </w:rPr>
      </w:pPr>
      <w:r>
        <w:rPr>
          <w:rFonts w:cs="Arial"/>
          <w:sz w:val="22"/>
          <w:szCs w:val="22"/>
        </w:rPr>
        <w:t>Z</w:t>
      </w:r>
      <w:r w:rsidRPr="007D49C6">
        <w:rPr>
          <w:rFonts w:cs="Arial"/>
          <w:sz w:val="22"/>
          <w:szCs w:val="22"/>
        </w:rPr>
        <w:t xml:space="preserve">ajistit dostatečný rozsah aktivních opatření. S tím souvisí požadavek zvýšit celkové výdaje na APZ, které umožní zařadit do programů vyšší počet nezaměstnaných </w:t>
      </w:r>
      <w:r>
        <w:rPr>
          <w:rFonts w:cs="Arial"/>
          <w:sz w:val="22"/>
          <w:szCs w:val="22"/>
        </w:rPr>
        <w:br/>
      </w:r>
      <w:r w:rsidRPr="007D49C6">
        <w:rPr>
          <w:rFonts w:cs="Arial"/>
          <w:sz w:val="22"/>
          <w:szCs w:val="22"/>
        </w:rPr>
        <w:t xml:space="preserve">a tím nadále zvyšovat podíl účastníků na celkovém počtu nezaměstnaných. Je třeba </w:t>
      </w:r>
      <w:r w:rsidRPr="007D49C6">
        <w:rPr>
          <w:rFonts w:cs="Arial"/>
          <w:sz w:val="22"/>
          <w:szCs w:val="22"/>
        </w:rPr>
        <w:lastRenderedPageBreak/>
        <w:t>posílit rozpočty zejména v nástrojích VPP a SÚPM, kde je poptávka po pracovních místech vysoká a nelze ji v současné době plně uspokojit</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Z</w:t>
      </w:r>
      <w:r w:rsidRPr="007D49C6">
        <w:rPr>
          <w:rFonts w:cs="Arial"/>
          <w:sz w:val="22"/>
          <w:szCs w:val="22"/>
        </w:rPr>
        <w:t>výšit personální a odbornou kapacitu zajišťující realizaci aktivní politiky zaměstnanosti. Vzhledem k nárůstu objemu činností prováděných v rámci APZ (jedná se zejména o nové projekty financované z ESF a posílení kontrolní činnosti) je nezbytné posílit stávající kapacitu pracovníků. Růst nezaměstnanosti klade vyšší nároky na činnost pracovníků, což souvisí i s tlakem klientů na pracovníky APZ. Je třeba rovněž posílit jejich odborné kompetence vzhledem k sílící potřebě modernizace a inovace aktivní politiky zaměstnanosti</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Z</w:t>
      </w:r>
      <w:r w:rsidRPr="007D49C6">
        <w:rPr>
          <w:rFonts w:cs="Arial"/>
          <w:sz w:val="22"/>
          <w:szCs w:val="22"/>
        </w:rPr>
        <w:t xml:space="preserve">výšit přínos VPP ve smyslu snížit „uzamčení“ účastníků v programu. Je třeba dále posilovat individualizaci přístupu k nezaměstnaným, tj. adaptovat roli programu VPP </w:t>
      </w:r>
      <w:r>
        <w:rPr>
          <w:rFonts w:cs="Arial"/>
          <w:sz w:val="22"/>
          <w:szCs w:val="22"/>
        </w:rPr>
        <w:br/>
      </w:r>
      <w:r w:rsidRPr="007D49C6">
        <w:rPr>
          <w:rFonts w:cs="Arial"/>
          <w:sz w:val="22"/>
          <w:szCs w:val="22"/>
        </w:rPr>
        <w:t xml:space="preserve">a návaznost dalších programů s ohledem na individuální pozici konkrétních uchazečů </w:t>
      </w:r>
      <w:r>
        <w:rPr>
          <w:rFonts w:cs="Arial"/>
          <w:sz w:val="22"/>
          <w:szCs w:val="22"/>
        </w:rPr>
        <w:br/>
      </w:r>
      <w:r w:rsidRPr="007D49C6">
        <w:rPr>
          <w:rFonts w:cs="Arial"/>
          <w:sz w:val="22"/>
          <w:szCs w:val="22"/>
        </w:rPr>
        <w:t xml:space="preserve">na trhu práce, na jejich potřeby a možnosti dalšího uplatnění. Vhodným opatřením </w:t>
      </w:r>
      <w:r>
        <w:rPr>
          <w:rFonts w:cs="Arial"/>
          <w:sz w:val="22"/>
          <w:szCs w:val="22"/>
        </w:rPr>
        <w:br/>
      </w:r>
      <w:r w:rsidRPr="007D49C6">
        <w:rPr>
          <w:rFonts w:cs="Arial"/>
          <w:sz w:val="22"/>
          <w:szCs w:val="22"/>
        </w:rPr>
        <w:t>by bylo například poskytnout některým nezaměstnaným souběžně pracovní přípravu</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F</w:t>
      </w:r>
      <w:r w:rsidRPr="007D49C6">
        <w:rPr>
          <w:rFonts w:cs="Arial"/>
          <w:sz w:val="22"/>
          <w:szCs w:val="22"/>
        </w:rPr>
        <w:t>ormou nového nástroje APZ umožnit tvorbu nových pracovních míst pro absolventy škol na dobu 1-2 roky, s cílem umožnit absolventům škol získat alespoň roční praxí v</w:t>
      </w:r>
      <w:r>
        <w:rPr>
          <w:rFonts w:cs="Arial"/>
          <w:sz w:val="22"/>
          <w:szCs w:val="22"/>
        </w:rPr>
        <w:t> </w:t>
      </w:r>
      <w:r w:rsidRPr="007D49C6">
        <w:rPr>
          <w:rFonts w:cs="Arial"/>
          <w:sz w:val="22"/>
          <w:szCs w:val="22"/>
        </w:rPr>
        <w:t>oboru</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V</w:t>
      </w:r>
      <w:r w:rsidRPr="007D49C6">
        <w:rPr>
          <w:rFonts w:cs="Arial"/>
          <w:sz w:val="22"/>
          <w:szCs w:val="22"/>
        </w:rPr>
        <w:t> plném rozsahu využívat finančních prostředků v rámci národních individuálních projektů: poradenská činnost a rekvalifikace</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M</w:t>
      </w:r>
      <w:r w:rsidRPr="007D49C6">
        <w:rPr>
          <w:rFonts w:cs="Arial"/>
          <w:sz w:val="22"/>
          <w:szCs w:val="22"/>
        </w:rPr>
        <w:t xml:space="preserve">otivovat zapojení zaměstnavatelů do regionálního </w:t>
      </w:r>
      <w:r w:rsidRPr="007D49C6">
        <w:rPr>
          <w:rFonts w:cs="Arial"/>
          <w:color w:val="000000"/>
          <w:sz w:val="22"/>
          <w:szCs w:val="22"/>
        </w:rPr>
        <w:t>individuálních</w:t>
      </w:r>
      <w:r w:rsidRPr="007D49C6">
        <w:rPr>
          <w:rFonts w:cs="Arial"/>
          <w:sz w:val="22"/>
          <w:szCs w:val="22"/>
        </w:rPr>
        <w:t xml:space="preserve"> projektů</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Z</w:t>
      </w:r>
      <w:r w:rsidRPr="007D49C6">
        <w:rPr>
          <w:rFonts w:cs="Arial"/>
          <w:sz w:val="22"/>
          <w:szCs w:val="22"/>
        </w:rPr>
        <w:t>drojově zabezpečit financování regionální politiky trhu práce</w:t>
      </w:r>
      <w:r>
        <w:rPr>
          <w:rFonts w:cs="Arial"/>
          <w:sz w:val="22"/>
          <w:szCs w:val="22"/>
        </w:rPr>
        <w:t>. J</w:t>
      </w:r>
      <w:r w:rsidRPr="007D49C6">
        <w:rPr>
          <w:rFonts w:cs="Arial"/>
          <w:sz w:val="22"/>
          <w:szCs w:val="22"/>
        </w:rPr>
        <w:t>e</w:t>
      </w:r>
      <w:r>
        <w:rPr>
          <w:rFonts w:cs="Arial"/>
          <w:sz w:val="22"/>
          <w:szCs w:val="22"/>
        </w:rPr>
        <w:t xml:space="preserve"> </w:t>
      </w:r>
      <w:r w:rsidRPr="007D49C6">
        <w:rPr>
          <w:rFonts w:cs="Arial"/>
          <w:sz w:val="22"/>
          <w:szCs w:val="22"/>
        </w:rPr>
        <w:t>zapotřebí více monitorovat a vyhodnocovat regionální rozvoj a výsledky více zpřístupňovat všem aktérům</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P</w:t>
      </w:r>
      <w:r w:rsidRPr="007D49C6">
        <w:rPr>
          <w:rFonts w:cs="Arial"/>
          <w:sz w:val="22"/>
          <w:szCs w:val="22"/>
        </w:rPr>
        <w:t xml:space="preserve">okračovat v ověřování nového nástroje APZ prostřednictvím projektu „Vzdělávejte </w:t>
      </w:r>
      <w:r>
        <w:rPr>
          <w:rFonts w:cs="Arial"/>
          <w:sz w:val="22"/>
          <w:szCs w:val="22"/>
        </w:rPr>
        <w:br/>
        <w:t>se pro růst!“. Po</w:t>
      </w:r>
      <w:r w:rsidRPr="007D49C6">
        <w:rPr>
          <w:rFonts w:cs="Arial"/>
          <w:sz w:val="22"/>
          <w:szCs w:val="22"/>
        </w:rPr>
        <w:t xml:space="preserve">máháme tím zaměstnavatelům, kteří vykazují prorůstový potenciál </w:t>
      </w:r>
      <w:r>
        <w:rPr>
          <w:rFonts w:cs="Arial"/>
          <w:sz w:val="22"/>
          <w:szCs w:val="22"/>
        </w:rPr>
        <w:br/>
      </w:r>
      <w:r w:rsidRPr="007D49C6">
        <w:rPr>
          <w:rFonts w:cs="Arial"/>
          <w:sz w:val="22"/>
          <w:szCs w:val="22"/>
        </w:rPr>
        <w:t>ve vybraných odvětvích</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D</w:t>
      </w:r>
      <w:r w:rsidRPr="007D49C6">
        <w:rPr>
          <w:rFonts w:cs="Arial"/>
          <w:sz w:val="22"/>
          <w:szCs w:val="22"/>
        </w:rPr>
        <w:t>aňovým zvýhodněním, nižšími sociálními odvody, vyššími dotacemi na mzdy motivovat zaměstnavatele, zejména středně velké (26-100 zaměstnanců), k tvorbě nových pracovních míst</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Z</w:t>
      </w:r>
      <w:r w:rsidRPr="007D49C6">
        <w:rPr>
          <w:rFonts w:cs="Arial"/>
          <w:sz w:val="22"/>
          <w:szCs w:val="22"/>
        </w:rPr>
        <w:t>pracovat analýzu systému sociálních služeb v regionu (budoucí růst počtu pracovních míst v sociálních službách)</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Z</w:t>
      </w:r>
      <w:r w:rsidRPr="007D49C6">
        <w:rPr>
          <w:rFonts w:cs="Arial"/>
          <w:sz w:val="22"/>
          <w:szCs w:val="22"/>
        </w:rPr>
        <w:t xml:space="preserve">aměřit se na skupiny budoucích (žádaných) pracovníků ze strany zaměstnavatelů </w:t>
      </w:r>
      <w:r>
        <w:rPr>
          <w:rFonts w:cs="Arial"/>
          <w:sz w:val="22"/>
          <w:szCs w:val="22"/>
        </w:rPr>
        <w:br/>
      </w:r>
      <w:r w:rsidRPr="007D49C6">
        <w:rPr>
          <w:rFonts w:cs="Arial"/>
          <w:sz w:val="22"/>
          <w:szCs w:val="22"/>
        </w:rPr>
        <w:t xml:space="preserve">a školství (směrování budoucí pracovní síly k žádaným profesím jako např. řemeslníci, obsluha strojů a zařízení, obsluha stacionárních zařízení, montážní dělníci </w:t>
      </w:r>
      <w:r w:rsidR="0075074A">
        <w:rPr>
          <w:rFonts w:cs="Arial"/>
          <w:sz w:val="22"/>
          <w:szCs w:val="22"/>
        </w:rPr>
        <w:br/>
      </w:r>
      <w:r w:rsidRPr="007D49C6">
        <w:rPr>
          <w:rFonts w:cs="Arial"/>
          <w:sz w:val="22"/>
          <w:szCs w:val="22"/>
        </w:rPr>
        <w:t>ve strojírenství, obsluhující personál v obchodě a ve službách)</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P</w:t>
      </w:r>
      <w:r w:rsidRPr="007D49C6">
        <w:rPr>
          <w:rFonts w:cs="Arial"/>
          <w:sz w:val="22"/>
          <w:szCs w:val="22"/>
        </w:rPr>
        <w:t xml:space="preserve">odporovat investice do lidského kapitálu (řešení otázek rozvoje ekonomiky, vědy </w:t>
      </w:r>
      <w:r>
        <w:rPr>
          <w:rFonts w:cs="Arial"/>
          <w:sz w:val="22"/>
          <w:szCs w:val="22"/>
        </w:rPr>
        <w:br/>
      </w:r>
      <w:r w:rsidRPr="007D49C6">
        <w:rPr>
          <w:rFonts w:cs="Arial"/>
          <w:sz w:val="22"/>
          <w:szCs w:val="22"/>
        </w:rPr>
        <w:t>a výzkumu, vlivů demografického stárnutí, nedostatečné prostorové mobility, požadavky lokálního trhu práce apod.)</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P</w:t>
      </w:r>
      <w:r w:rsidRPr="007D49C6">
        <w:rPr>
          <w:rFonts w:cs="Arial"/>
          <w:sz w:val="22"/>
          <w:szCs w:val="22"/>
        </w:rPr>
        <w:t>odporovat konkurenceschopnost podniků nejen v</w:t>
      </w:r>
      <w:r>
        <w:rPr>
          <w:rFonts w:cs="Arial"/>
          <w:sz w:val="22"/>
          <w:szCs w:val="22"/>
        </w:rPr>
        <w:t> </w:t>
      </w:r>
      <w:r w:rsidRPr="007D49C6">
        <w:rPr>
          <w:rFonts w:cs="Arial"/>
          <w:sz w:val="22"/>
          <w:szCs w:val="22"/>
        </w:rPr>
        <w:t>regionu</w:t>
      </w:r>
      <w:r>
        <w:rPr>
          <w:rFonts w:cs="Arial"/>
          <w:sz w:val="22"/>
          <w:szCs w:val="22"/>
        </w:rPr>
        <w:t>. S</w:t>
      </w:r>
      <w:r w:rsidRPr="007D49C6">
        <w:rPr>
          <w:rFonts w:cs="Arial"/>
          <w:sz w:val="22"/>
          <w:szCs w:val="22"/>
        </w:rPr>
        <w:t>tále</w:t>
      </w:r>
      <w:r>
        <w:rPr>
          <w:rFonts w:cs="Arial"/>
          <w:sz w:val="22"/>
          <w:szCs w:val="22"/>
        </w:rPr>
        <w:t xml:space="preserve"> </w:t>
      </w:r>
      <w:r w:rsidRPr="007D49C6">
        <w:rPr>
          <w:rFonts w:cs="Arial"/>
          <w:sz w:val="22"/>
          <w:szCs w:val="22"/>
        </w:rPr>
        <w:t>máme nízký podíl malých a středních podnikatelů na tvorbě domácího produktu a na zaměstnanost. Prioritně se orientovat na rozvoj funkce malého a středního podnikání jako ekonomického segmentu zajišťujícího lokální potřeby obyvatel, obcí a kraje</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A</w:t>
      </w:r>
      <w:r w:rsidRPr="007D49C6">
        <w:rPr>
          <w:rFonts w:cs="Arial"/>
          <w:sz w:val="22"/>
          <w:szCs w:val="22"/>
        </w:rPr>
        <w:t>ktivně se podílet a zapojit se do realizace regionálních individuálních projektů</w:t>
      </w:r>
      <w:r w:rsidRPr="007D49C6">
        <w:rPr>
          <w:rFonts w:cs="Arial"/>
          <w:b/>
          <w:sz w:val="22"/>
          <w:szCs w:val="22"/>
        </w:rPr>
        <w:t xml:space="preserve"> </w:t>
      </w:r>
      <w:r w:rsidRPr="007D49C6">
        <w:rPr>
          <w:rFonts w:cs="Arial"/>
          <w:sz w:val="22"/>
          <w:szCs w:val="22"/>
        </w:rPr>
        <w:t>v rámci Ústeckého kraje</w:t>
      </w:r>
      <w:r>
        <w:rPr>
          <w:rFonts w:cs="Arial"/>
          <w:sz w:val="22"/>
          <w:szCs w:val="22"/>
        </w:rPr>
        <w:t>.</w:t>
      </w:r>
    </w:p>
    <w:p w:rsidR="00A64035" w:rsidRPr="007D49C6" w:rsidRDefault="00A64035" w:rsidP="00557F1F">
      <w:pPr>
        <w:numPr>
          <w:ilvl w:val="0"/>
          <w:numId w:val="26"/>
        </w:numPr>
        <w:ind w:left="363"/>
        <w:rPr>
          <w:rFonts w:cs="Arial"/>
          <w:sz w:val="22"/>
          <w:szCs w:val="22"/>
        </w:rPr>
      </w:pPr>
      <w:r>
        <w:rPr>
          <w:rFonts w:cs="Arial"/>
          <w:sz w:val="22"/>
          <w:szCs w:val="22"/>
        </w:rPr>
        <w:t>P</w:t>
      </w:r>
      <w:r w:rsidRPr="007D49C6">
        <w:rPr>
          <w:rFonts w:cs="Arial"/>
          <w:sz w:val="22"/>
          <w:szCs w:val="22"/>
        </w:rPr>
        <w:t>okračovat v aktivitách v rámci Česko-Saské spolupráce mezi úřady práce, institucemi, odbory, zaměstnavateli a neziskovými organizacemi na obou stranách hranice</w:t>
      </w:r>
      <w:r>
        <w:rPr>
          <w:rFonts w:cs="Arial"/>
          <w:sz w:val="22"/>
          <w:szCs w:val="22"/>
        </w:rPr>
        <w:t>.</w:t>
      </w:r>
    </w:p>
    <w:p w:rsidR="00A64035" w:rsidRPr="007D49C6" w:rsidRDefault="00A64035" w:rsidP="00A64035">
      <w:pPr>
        <w:ind w:left="363"/>
        <w:rPr>
          <w:rFonts w:cs="Arial"/>
          <w:sz w:val="22"/>
          <w:szCs w:val="22"/>
        </w:rPr>
      </w:pPr>
    </w:p>
    <w:p w:rsidR="00A64035" w:rsidRDefault="00A64035" w:rsidP="00A64035">
      <w:pPr>
        <w:jc w:val="both"/>
        <w:rPr>
          <w:rFonts w:ascii="Calibri" w:hAnsi="Calibri" w:cs="Calibri"/>
          <w:b/>
          <w:caps/>
          <w:color w:val="0000FF"/>
          <w:sz w:val="28"/>
          <w:szCs w:val="28"/>
        </w:rPr>
      </w:pPr>
    </w:p>
    <w:p w:rsidR="00A64035" w:rsidRPr="007D49C6" w:rsidRDefault="00A64035" w:rsidP="00A64035">
      <w:pPr>
        <w:rPr>
          <w:lang w:eastAsia="x-none"/>
        </w:rPr>
      </w:pPr>
    </w:p>
    <w:p w:rsidR="00A64035" w:rsidRPr="00463430" w:rsidRDefault="00A64035" w:rsidP="00A64035">
      <w:pPr>
        <w:rPr>
          <w:rFonts w:cs="Arial"/>
          <w:sz w:val="22"/>
          <w:szCs w:val="22"/>
        </w:rPr>
      </w:pPr>
    </w:p>
    <w:p w:rsidR="00A64035" w:rsidRDefault="00A64035" w:rsidP="00A64035">
      <w:pPr>
        <w:rPr>
          <w:rFonts w:cs="Arial"/>
          <w:i/>
          <w:sz w:val="22"/>
          <w:szCs w:val="22"/>
        </w:rPr>
      </w:pPr>
    </w:p>
    <w:p w:rsidR="00A64035" w:rsidRDefault="00A64035" w:rsidP="00A64035">
      <w:pPr>
        <w:rPr>
          <w:rFonts w:cs="Arial"/>
          <w:i/>
          <w:sz w:val="22"/>
          <w:szCs w:val="22"/>
        </w:rPr>
      </w:pPr>
    </w:p>
    <w:p w:rsidR="00A64035" w:rsidRDefault="00A64035" w:rsidP="00A64035">
      <w:pPr>
        <w:rPr>
          <w:rFonts w:cs="Arial"/>
          <w:i/>
          <w:sz w:val="22"/>
          <w:szCs w:val="22"/>
        </w:rPr>
      </w:pPr>
    </w:p>
    <w:p w:rsidR="00A64035" w:rsidRPr="00463430" w:rsidRDefault="00A64035" w:rsidP="00A64035">
      <w:pPr>
        <w:rPr>
          <w:rFonts w:cs="Arial"/>
          <w:i/>
          <w:sz w:val="22"/>
          <w:szCs w:val="22"/>
        </w:rPr>
      </w:pPr>
      <w:bookmarkStart w:id="0" w:name="_GoBack"/>
      <w:bookmarkEnd w:id="0"/>
    </w:p>
    <w:p w:rsidR="00A64035" w:rsidRPr="00463430" w:rsidRDefault="00A64035" w:rsidP="00A64035">
      <w:pPr>
        <w:jc w:val="both"/>
        <w:rPr>
          <w:rFonts w:cs="Arial"/>
          <w:sz w:val="22"/>
          <w:szCs w:val="22"/>
        </w:rPr>
      </w:pPr>
    </w:p>
    <w:p w:rsidR="00A64035" w:rsidRPr="00463430" w:rsidRDefault="00A64035" w:rsidP="00A64035">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4"/>
        <w:gridCol w:w="2073"/>
        <w:gridCol w:w="1806"/>
        <w:gridCol w:w="1533"/>
      </w:tblGrid>
      <w:tr w:rsidR="00A64035" w:rsidRPr="002A67E9" w:rsidTr="0075074A">
        <w:tc>
          <w:tcPr>
            <w:tcW w:w="4032" w:type="dxa"/>
            <w:shd w:val="clear" w:color="auto" w:fill="auto"/>
          </w:tcPr>
          <w:p w:rsidR="00A64035" w:rsidRPr="002A67E9" w:rsidRDefault="00A64035" w:rsidP="0075074A">
            <w:pPr>
              <w:rPr>
                <w:rFonts w:cs="Arial"/>
                <w:b/>
                <w:sz w:val="22"/>
                <w:szCs w:val="22"/>
              </w:rPr>
            </w:pPr>
            <w:r w:rsidRPr="002A67E9">
              <w:rPr>
                <w:rFonts w:cs="Arial"/>
                <w:b/>
                <w:sz w:val="22"/>
                <w:szCs w:val="22"/>
              </w:rPr>
              <w:t>KONCEPČNÍ CÍLE</w:t>
            </w:r>
          </w:p>
        </w:tc>
        <w:tc>
          <w:tcPr>
            <w:tcW w:w="2103" w:type="dxa"/>
            <w:shd w:val="clear" w:color="auto" w:fill="auto"/>
          </w:tcPr>
          <w:p w:rsidR="00A64035" w:rsidRPr="002A67E9" w:rsidRDefault="00A64035" w:rsidP="0075074A">
            <w:pPr>
              <w:rPr>
                <w:rFonts w:cs="Arial"/>
                <w:b/>
                <w:sz w:val="22"/>
                <w:szCs w:val="22"/>
              </w:rPr>
            </w:pPr>
            <w:r w:rsidRPr="002A67E9">
              <w:rPr>
                <w:rFonts w:cs="Arial"/>
                <w:b/>
                <w:sz w:val="22"/>
                <w:szCs w:val="22"/>
              </w:rPr>
              <w:t>Garant</w:t>
            </w:r>
          </w:p>
        </w:tc>
        <w:tc>
          <w:tcPr>
            <w:tcW w:w="1601" w:type="dxa"/>
            <w:shd w:val="clear" w:color="auto" w:fill="auto"/>
          </w:tcPr>
          <w:p w:rsidR="00A64035" w:rsidRPr="002A67E9" w:rsidRDefault="00A64035" w:rsidP="0075074A">
            <w:pPr>
              <w:rPr>
                <w:rFonts w:cs="Arial"/>
                <w:b/>
                <w:sz w:val="22"/>
                <w:szCs w:val="22"/>
              </w:rPr>
            </w:pPr>
            <w:r w:rsidRPr="002A67E9">
              <w:rPr>
                <w:rFonts w:cs="Arial"/>
                <w:b/>
                <w:sz w:val="22"/>
                <w:szCs w:val="22"/>
              </w:rPr>
              <w:t>Zdroj dat/sumarizace</w:t>
            </w:r>
          </w:p>
        </w:tc>
        <w:tc>
          <w:tcPr>
            <w:tcW w:w="1552" w:type="dxa"/>
            <w:shd w:val="clear" w:color="auto" w:fill="auto"/>
          </w:tcPr>
          <w:p w:rsidR="00A64035" w:rsidRPr="002A67E9" w:rsidRDefault="00A64035" w:rsidP="0075074A">
            <w:pPr>
              <w:rPr>
                <w:rFonts w:cs="Arial"/>
                <w:b/>
                <w:sz w:val="22"/>
                <w:szCs w:val="22"/>
              </w:rPr>
            </w:pPr>
            <w:r w:rsidRPr="002A67E9">
              <w:rPr>
                <w:rFonts w:cs="Arial"/>
                <w:b/>
                <w:sz w:val="22"/>
                <w:szCs w:val="22"/>
              </w:rPr>
              <w:t>Indikátor</w:t>
            </w:r>
          </w:p>
        </w:tc>
      </w:tr>
      <w:tr w:rsidR="00A64035" w:rsidRPr="00FC5286" w:rsidTr="0075074A">
        <w:tc>
          <w:tcPr>
            <w:tcW w:w="4032" w:type="dxa"/>
            <w:shd w:val="clear" w:color="auto" w:fill="auto"/>
          </w:tcPr>
          <w:p w:rsidR="00A64035" w:rsidRPr="00FC5286" w:rsidRDefault="00A64035" w:rsidP="0075074A">
            <w:pPr>
              <w:rPr>
                <w:rFonts w:cs="Arial"/>
                <w:sz w:val="22"/>
                <w:szCs w:val="22"/>
              </w:rPr>
            </w:pPr>
          </w:p>
        </w:tc>
        <w:tc>
          <w:tcPr>
            <w:tcW w:w="2103" w:type="dxa"/>
            <w:shd w:val="clear" w:color="auto" w:fill="auto"/>
          </w:tcPr>
          <w:p w:rsidR="00A64035" w:rsidRPr="00FC5286" w:rsidRDefault="00A64035" w:rsidP="0075074A">
            <w:pPr>
              <w:rPr>
                <w:rFonts w:cs="Arial"/>
                <w:sz w:val="22"/>
                <w:szCs w:val="22"/>
              </w:rPr>
            </w:pPr>
          </w:p>
        </w:tc>
        <w:tc>
          <w:tcPr>
            <w:tcW w:w="1601" w:type="dxa"/>
            <w:shd w:val="clear" w:color="auto" w:fill="auto"/>
          </w:tcPr>
          <w:p w:rsidR="00A64035" w:rsidRPr="00FC5286" w:rsidRDefault="00A64035" w:rsidP="0075074A">
            <w:pPr>
              <w:rPr>
                <w:rFonts w:cs="Arial"/>
                <w:sz w:val="22"/>
                <w:szCs w:val="22"/>
              </w:rPr>
            </w:pPr>
          </w:p>
        </w:tc>
        <w:tc>
          <w:tcPr>
            <w:tcW w:w="1552" w:type="dxa"/>
            <w:shd w:val="clear" w:color="auto" w:fill="auto"/>
          </w:tcPr>
          <w:p w:rsidR="00A64035" w:rsidRPr="00FC5286" w:rsidRDefault="00A64035" w:rsidP="0075074A">
            <w:pPr>
              <w:rPr>
                <w:rFonts w:cs="Arial"/>
                <w:sz w:val="22"/>
                <w:szCs w:val="22"/>
              </w:rPr>
            </w:pPr>
          </w:p>
        </w:tc>
      </w:tr>
      <w:tr w:rsidR="00A64035" w:rsidRPr="00FC5286" w:rsidTr="0075074A">
        <w:tc>
          <w:tcPr>
            <w:tcW w:w="4032" w:type="dxa"/>
            <w:shd w:val="clear" w:color="auto" w:fill="auto"/>
          </w:tcPr>
          <w:p w:rsidR="00A64035" w:rsidRPr="00FC5286" w:rsidRDefault="00A64035" w:rsidP="0075074A">
            <w:pPr>
              <w:rPr>
                <w:rFonts w:cs="Arial"/>
                <w:sz w:val="22"/>
                <w:szCs w:val="22"/>
              </w:rPr>
            </w:pPr>
            <w:r>
              <w:rPr>
                <w:rFonts w:cs="Arial"/>
                <w:sz w:val="22"/>
                <w:szCs w:val="22"/>
              </w:rPr>
              <w:t>Podpořit vznik sociální firmy</w:t>
            </w:r>
          </w:p>
        </w:tc>
        <w:tc>
          <w:tcPr>
            <w:tcW w:w="2103" w:type="dxa"/>
            <w:shd w:val="clear" w:color="auto" w:fill="auto"/>
          </w:tcPr>
          <w:p w:rsidR="00A64035" w:rsidRPr="00FC5286" w:rsidRDefault="00A64035" w:rsidP="0075074A">
            <w:pPr>
              <w:rPr>
                <w:rFonts w:cs="Arial"/>
                <w:color w:val="FF0000"/>
                <w:sz w:val="22"/>
                <w:szCs w:val="22"/>
              </w:rPr>
            </w:pPr>
            <w:r w:rsidRPr="00FC5286">
              <w:rPr>
                <w:rFonts w:cs="Arial"/>
                <w:sz w:val="22"/>
                <w:szCs w:val="22"/>
              </w:rPr>
              <w:t>Z</w:t>
            </w:r>
            <w:r>
              <w:rPr>
                <w:rFonts w:cs="Arial"/>
                <w:sz w:val="22"/>
                <w:szCs w:val="22"/>
              </w:rPr>
              <w:t>SMCH/VVVZ</w:t>
            </w:r>
            <w:r w:rsidRPr="00FC5286">
              <w:rPr>
                <w:rFonts w:cs="Arial"/>
                <w:sz w:val="22"/>
                <w:szCs w:val="22"/>
              </w:rPr>
              <w:t xml:space="preserve"> </w:t>
            </w:r>
          </w:p>
        </w:tc>
        <w:tc>
          <w:tcPr>
            <w:tcW w:w="1601" w:type="dxa"/>
            <w:shd w:val="clear" w:color="auto" w:fill="auto"/>
          </w:tcPr>
          <w:p w:rsidR="00A64035" w:rsidRPr="00FC5286" w:rsidRDefault="00A64035" w:rsidP="0075074A">
            <w:pPr>
              <w:rPr>
                <w:rFonts w:cs="Arial"/>
                <w:sz w:val="22"/>
                <w:szCs w:val="22"/>
              </w:rPr>
            </w:pPr>
            <w:r>
              <w:rPr>
                <w:rFonts w:cs="Arial"/>
                <w:sz w:val="22"/>
                <w:szCs w:val="22"/>
              </w:rPr>
              <w:t>ÚP CV</w:t>
            </w:r>
          </w:p>
        </w:tc>
        <w:tc>
          <w:tcPr>
            <w:tcW w:w="1552" w:type="dxa"/>
            <w:shd w:val="clear" w:color="auto" w:fill="auto"/>
          </w:tcPr>
          <w:p w:rsidR="00A64035" w:rsidRPr="00FC5286" w:rsidRDefault="00A64035" w:rsidP="0075074A">
            <w:pPr>
              <w:rPr>
                <w:rFonts w:cs="Arial"/>
                <w:sz w:val="22"/>
                <w:szCs w:val="22"/>
              </w:rPr>
            </w:pPr>
            <w:r>
              <w:rPr>
                <w:rFonts w:cs="Arial"/>
                <w:sz w:val="22"/>
                <w:szCs w:val="22"/>
              </w:rPr>
              <w:t>Úspěšnost akce</w:t>
            </w:r>
          </w:p>
        </w:tc>
      </w:tr>
      <w:tr w:rsidR="00A64035" w:rsidRPr="00FC5286" w:rsidTr="0075074A">
        <w:tc>
          <w:tcPr>
            <w:tcW w:w="4032" w:type="dxa"/>
            <w:shd w:val="clear" w:color="auto" w:fill="auto"/>
          </w:tcPr>
          <w:p w:rsidR="00A64035" w:rsidRDefault="00A64035" w:rsidP="0075074A">
            <w:pPr>
              <w:rPr>
                <w:rFonts w:cs="Arial"/>
                <w:sz w:val="22"/>
                <w:szCs w:val="22"/>
              </w:rPr>
            </w:pPr>
          </w:p>
        </w:tc>
        <w:tc>
          <w:tcPr>
            <w:tcW w:w="2103" w:type="dxa"/>
            <w:shd w:val="clear" w:color="auto" w:fill="auto"/>
          </w:tcPr>
          <w:p w:rsidR="00A64035" w:rsidRDefault="00A64035" w:rsidP="0075074A">
            <w:pPr>
              <w:rPr>
                <w:rFonts w:cs="Arial"/>
                <w:sz w:val="22"/>
                <w:szCs w:val="22"/>
              </w:rPr>
            </w:pPr>
          </w:p>
        </w:tc>
        <w:tc>
          <w:tcPr>
            <w:tcW w:w="1601" w:type="dxa"/>
            <w:shd w:val="clear" w:color="auto" w:fill="auto"/>
          </w:tcPr>
          <w:p w:rsidR="00A64035" w:rsidRDefault="00A64035" w:rsidP="0075074A">
            <w:pPr>
              <w:rPr>
                <w:rFonts w:cs="Arial"/>
                <w:sz w:val="22"/>
                <w:szCs w:val="22"/>
              </w:rPr>
            </w:pPr>
          </w:p>
        </w:tc>
        <w:tc>
          <w:tcPr>
            <w:tcW w:w="1552" w:type="dxa"/>
            <w:shd w:val="clear" w:color="auto" w:fill="auto"/>
          </w:tcPr>
          <w:p w:rsidR="00A64035" w:rsidRPr="00FC5286" w:rsidRDefault="00A64035" w:rsidP="0075074A">
            <w:pPr>
              <w:rPr>
                <w:rFonts w:cs="Arial"/>
                <w:sz w:val="22"/>
                <w:szCs w:val="22"/>
              </w:rPr>
            </w:pPr>
          </w:p>
        </w:tc>
      </w:tr>
      <w:tr w:rsidR="00A64035" w:rsidRPr="00FC5286" w:rsidTr="0075074A">
        <w:tc>
          <w:tcPr>
            <w:tcW w:w="4032" w:type="dxa"/>
            <w:shd w:val="clear" w:color="auto" w:fill="auto"/>
          </w:tcPr>
          <w:p w:rsidR="00A64035" w:rsidRDefault="00A64035" w:rsidP="0075074A">
            <w:pPr>
              <w:rPr>
                <w:rFonts w:cs="Arial"/>
                <w:sz w:val="22"/>
                <w:szCs w:val="22"/>
              </w:rPr>
            </w:pPr>
            <w:r>
              <w:rPr>
                <w:rFonts w:cs="Arial"/>
                <w:sz w:val="22"/>
                <w:szCs w:val="22"/>
              </w:rPr>
              <w:t>Podpořit vznik sociálně informačního centra</w:t>
            </w:r>
          </w:p>
        </w:tc>
        <w:tc>
          <w:tcPr>
            <w:tcW w:w="2103" w:type="dxa"/>
            <w:shd w:val="clear" w:color="auto" w:fill="auto"/>
          </w:tcPr>
          <w:p w:rsidR="00A64035" w:rsidRPr="00FC5286" w:rsidRDefault="00A64035" w:rsidP="0075074A">
            <w:pPr>
              <w:rPr>
                <w:rFonts w:cs="Arial"/>
                <w:sz w:val="22"/>
                <w:szCs w:val="22"/>
              </w:rPr>
            </w:pPr>
            <w:r>
              <w:rPr>
                <w:rFonts w:cs="Arial"/>
                <w:sz w:val="22"/>
                <w:szCs w:val="22"/>
              </w:rPr>
              <w:t>ZSMCH</w:t>
            </w:r>
          </w:p>
        </w:tc>
        <w:tc>
          <w:tcPr>
            <w:tcW w:w="1601" w:type="dxa"/>
            <w:shd w:val="clear" w:color="auto" w:fill="auto"/>
          </w:tcPr>
          <w:p w:rsidR="00A64035" w:rsidRDefault="00A64035" w:rsidP="0075074A">
            <w:pPr>
              <w:rPr>
                <w:rFonts w:cs="Arial"/>
                <w:sz w:val="22"/>
                <w:szCs w:val="22"/>
              </w:rPr>
            </w:pPr>
            <w:r>
              <w:rPr>
                <w:rFonts w:cs="Arial"/>
                <w:sz w:val="22"/>
                <w:szCs w:val="22"/>
              </w:rPr>
              <w:t>ÚP CV</w:t>
            </w:r>
          </w:p>
        </w:tc>
        <w:tc>
          <w:tcPr>
            <w:tcW w:w="1552" w:type="dxa"/>
            <w:shd w:val="clear" w:color="auto" w:fill="auto"/>
          </w:tcPr>
          <w:p w:rsidR="00A64035" w:rsidRPr="00FC5286" w:rsidRDefault="00A64035" w:rsidP="0075074A">
            <w:pPr>
              <w:rPr>
                <w:rFonts w:cs="Arial"/>
                <w:sz w:val="22"/>
                <w:szCs w:val="22"/>
              </w:rPr>
            </w:pPr>
            <w:r>
              <w:rPr>
                <w:rFonts w:cs="Arial"/>
                <w:sz w:val="22"/>
                <w:szCs w:val="22"/>
              </w:rPr>
              <w:t>Úspěšnost akce</w:t>
            </w:r>
          </w:p>
        </w:tc>
      </w:tr>
      <w:tr w:rsidR="00A64035" w:rsidRPr="00FC5286" w:rsidTr="0075074A">
        <w:tc>
          <w:tcPr>
            <w:tcW w:w="4032" w:type="dxa"/>
            <w:shd w:val="clear" w:color="auto" w:fill="auto"/>
          </w:tcPr>
          <w:p w:rsidR="00A64035" w:rsidRDefault="00A64035" w:rsidP="0075074A">
            <w:pPr>
              <w:rPr>
                <w:rFonts w:cs="Arial"/>
                <w:sz w:val="22"/>
                <w:szCs w:val="22"/>
              </w:rPr>
            </w:pPr>
          </w:p>
        </w:tc>
        <w:tc>
          <w:tcPr>
            <w:tcW w:w="2103" w:type="dxa"/>
            <w:shd w:val="clear" w:color="auto" w:fill="auto"/>
          </w:tcPr>
          <w:p w:rsidR="00A64035" w:rsidRDefault="00A64035" w:rsidP="0075074A">
            <w:pPr>
              <w:rPr>
                <w:rFonts w:cs="Arial"/>
                <w:sz w:val="22"/>
                <w:szCs w:val="22"/>
              </w:rPr>
            </w:pPr>
          </w:p>
        </w:tc>
        <w:tc>
          <w:tcPr>
            <w:tcW w:w="1601" w:type="dxa"/>
            <w:shd w:val="clear" w:color="auto" w:fill="auto"/>
          </w:tcPr>
          <w:p w:rsidR="00A64035" w:rsidRDefault="00A64035" w:rsidP="0075074A">
            <w:pPr>
              <w:rPr>
                <w:rFonts w:cs="Arial"/>
                <w:sz w:val="22"/>
                <w:szCs w:val="22"/>
              </w:rPr>
            </w:pPr>
          </w:p>
        </w:tc>
        <w:tc>
          <w:tcPr>
            <w:tcW w:w="1552" w:type="dxa"/>
            <w:shd w:val="clear" w:color="auto" w:fill="auto"/>
          </w:tcPr>
          <w:p w:rsidR="00A64035" w:rsidRPr="00FC5286" w:rsidRDefault="00A64035" w:rsidP="0075074A">
            <w:pPr>
              <w:rPr>
                <w:rFonts w:cs="Arial"/>
                <w:sz w:val="22"/>
                <w:szCs w:val="22"/>
              </w:rPr>
            </w:pPr>
          </w:p>
        </w:tc>
      </w:tr>
      <w:tr w:rsidR="00A64035" w:rsidRPr="00FC5286" w:rsidTr="0075074A">
        <w:tc>
          <w:tcPr>
            <w:tcW w:w="4032" w:type="dxa"/>
            <w:shd w:val="clear" w:color="auto" w:fill="auto"/>
          </w:tcPr>
          <w:p w:rsidR="00A64035" w:rsidRDefault="00A64035" w:rsidP="0075074A">
            <w:pPr>
              <w:rPr>
                <w:rFonts w:cs="Arial"/>
                <w:sz w:val="22"/>
                <w:szCs w:val="22"/>
              </w:rPr>
            </w:pPr>
            <w:r>
              <w:rPr>
                <w:rFonts w:cs="Arial"/>
                <w:sz w:val="22"/>
                <w:szCs w:val="22"/>
              </w:rPr>
              <w:t>Usilovat o vznik míst na veřejně prospěšné práce</w:t>
            </w:r>
          </w:p>
        </w:tc>
        <w:tc>
          <w:tcPr>
            <w:tcW w:w="2103" w:type="dxa"/>
            <w:shd w:val="clear" w:color="auto" w:fill="auto"/>
          </w:tcPr>
          <w:p w:rsidR="00A64035" w:rsidRPr="00FC5286" w:rsidRDefault="00A64035" w:rsidP="0075074A">
            <w:pPr>
              <w:rPr>
                <w:rFonts w:cs="Arial"/>
                <w:sz w:val="22"/>
                <w:szCs w:val="22"/>
              </w:rPr>
            </w:pPr>
            <w:r>
              <w:rPr>
                <w:rFonts w:cs="Arial"/>
                <w:sz w:val="22"/>
                <w:szCs w:val="22"/>
              </w:rPr>
              <w:t>ZSMCH</w:t>
            </w:r>
          </w:p>
        </w:tc>
        <w:tc>
          <w:tcPr>
            <w:tcW w:w="1601" w:type="dxa"/>
            <w:shd w:val="clear" w:color="auto" w:fill="auto"/>
          </w:tcPr>
          <w:p w:rsidR="00A64035" w:rsidRDefault="00A64035" w:rsidP="0075074A">
            <w:pPr>
              <w:rPr>
                <w:rFonts w:cs="Arial"/>
                <w:sz w:val="22"/>
                <w:szCs w:val="22"/>
              </w:rPr>
            </w:pPr>
            <w:r>
              <w:rPr>
                <w:rFonts w:cs="Arial"/>
                <w:sz w:val="22"/>
                <w:szCs w:val="22"/>
              </w:rPr>
              <w:t>ÚP CV</w:t>
            </w:r>
          </w:p>
        </w:tc>
        <w:tc>
          <w:tcPr>
            <w:tcW w:w="1552" w:type="dxa"/>
            <w:shd w:val="clear" w:color="auto" w:fill="auto"/>
          </w:tcPr>
          <w:p w:rsidR="00A64035" w:rsidRPr="00FC5286" w:rsidRDefault="00A64035" w:rsidP="0075074A">
            <w:pPr>
              <w:rPr>
                <w:rFonts w:cs="Arial"/>
                <w:sz w:val="22"/>
                <w:szCs w:val="22"/>
              </w:rPr>
            </w:pPr>
            <w:r>
              <w:rPr>
                <w:rFonts w:cs="Arial"/>
                <w:sz w:val="22"/>
                <w:szCs w:val="22"/>
              </w:rPr>
              <w:t>Meziroční % vývoj</w:t>
            </w:r>
          </w:p>
        </w:tc>
      </w:tr>
      <w:tr w:rsidR="00A64035" w:rsidRPr="00FC5286" w:rsidTr="0075074A">
        <w:tc>
          <w:tcPr>
            <w:tcW w:w="4032" w:type="dxa"/>
            <w:shd w:val="clear" w:color="auto" w:fill="auto"/>
          </w:tcPr>
          <w:p w:rsidR="00A64035" w:rsidRDefault="00A64035" w:rsidP="0075074A">
            <w:pPr>
              <w:rPr>
                <w:rFonts w:cs="Arial"/>
                <w:sz w:val="22"/>
                <w:szCs w:val="22"/>
              </w:rPr>
            </w:pPr>
          </w:p>
        </w:tc>
        <w:tc>
          <w:tcPr>
            <w:tcW w:w="2103" w:type="dxa"/>
            <w:shd w:val="clear" w:color="auto" w:fill="auto"/>
          </w:tcPr>
          <w:p w:rsidR="00A64035" w:rsidRPr="00FC5286" w:rsidRDefault="00A64035" w:rsidP="0075074A">
            <w:pPr>
              <w:rPr>
                <w:rFonts w:cs="Arial"/>
                <w:sz w:val="22"/>
                <w:szCs w:val="22"/>
              </w:rPr>
            </w:pPr>
          </w:p>
        </w:tc>
        <w:tc>
          <w:tcPr>
            <w:tcW w:w="1601" w:type="dxa"/>
            <w:shd w:val="clear" w:color="auto" w:fill="auto"/>
          </w:tcPr>
          <w:p w:rsidR="00A64035" w:rsidRDefault="00A64035" w:rsidP="0075074A">
            <w:pPr>
              <w:rPr>
                <w:rFonts w:cs="Arial"/>
                <w:sz w:val="22"/>
                <w:szCs w:val="22"/>
              </w:rPr>
            </w:pPr>
          </w:p>
        </w:tc>
        <w:tc>
          <w:tcPr>
            <w:tcW w:w="1552" w:type="dxa"/>
            <w:shd w:val="clear" w:color="auto" w:fill="auto"/>
          </w:tcPr>
          <w:p w:rsidR="00A64035" w:rsidRPr="00FC5286" w:rsidRDefault="00A64035" w:rsidP="0075074A">
            <w:pPr>
              <w:rPr>
                <w:rFonts w:cs="Arial"/>
                <w:sz w:val="22"/>
                <w:szCs w:val="22"/>
              </w:rPr>
            </w:pPr>
          </w:p>
        </w:tc>
      </w:tr>
      <w:tr w:rsidR="00A64035" w:rsidRPr="00FC5286" w:rsidTr="0075074A">
        <w:tc>
          <w:tcPr>
            <w:tcW w:w="4032" w:type="dxa"/>
            <w:shd w:val="clear" w:color="auto" w:fill="auto"/>
          </w:tcPr>
          <w:p w:rsidR="00A64035" w:rsidRDefault="00A64035" w:rsidP="0075074A">
            <w:pPr>
              <w:rPr>
                <w:rFonts w:cs="Arial"/>
                <w:sz w:val="22"/>
                <w:szCs w:val="22"/>
              </w:rPr>
            </w:pPr>
            <w:r>
              <w:rPr>
                <w:rFonts w:cs="Arial"/>
                <w:sz w:val="22"/>
                <w:szCs w:val="22"/>
              </w:rPr>
              <w:t>Rozšířit vznik společensky účelných pracovních míst a veřejné služby</w:t>
            </w:r>
          </w:p>
        </w:tc>
        <w:tc>
          <w:tcPr>
            <w:tcW w:w="2103" w:type="dxa"/>
            <w:shd w:val="clear" w:color="auto" w:fill="auto"/>
          </w:tcPr>
          <w:p w:rsidR="00A64035" w:rsidRPr="00FC5286" w:rsidRDefault="00A64035" w:rsidP="0075074A">
            <w:pPr>
              <w:rPr>
                <w:rFonts w:cs="Arial"/>
                <w:sz w:val="22"/>
                <w:szCs w:val="22"/>
              </w:rPr>
            </w:pPr>
          </w:p>
        </w:tc>
        <w:tc>
          <w:tcPr>
            <w:tcW w:w="1601" w:type="dxa"/>
            <w:shd w:val="clear" w:color="auto" w:fill="auto"/>
          </w:tcPr>
          <w:p w:rsidR="00A64035" w:rsidRDefault="00A64035" w:rsidP="0075074A">
            <w:pPr>
              <w:rPr>
                <w:rFonts w:cs="Arial"/>
                <w:sz w:val="22"/>
                <w:szCs w:val="22"/>
              </w:rPr>
            </w:pPr>
            <w:r>
              <w:rPr>
                <w:rFonts w:cs="Arial"/>
                <w:sz w:val="22"/>
                <w:szCs w:val="22"/>
              </w:rPr>
              <w:t>ÚP CV</w:t>
            </w:r>
          </w:p>
        </w:tc>
        <w:tc>
          <w:tcPr>
            <w:tcW w:w="1552" w:type="dxa"/>
            <w:shd w:val="clear" w:color="auto" w:fill="auto"/>
          </w:tcPr>
          <w:p w:rsidR="00A64035" w:rsidRPr="00FC5286" w:rsidRDefault="00A64035" w:rsidP="0075074A">
            <w:pPr>
              <w:rPr>
                <w:rFonts w:cs="Arial"/>
                <w:sz w:val="22"/>
                <w:szCs w:val="22"/>
              </w:rPr>
            </w:pPr>
            <w:r>
              <w:rPr>
                <w:rFonts w:cs="Arial"/>
                <w:sz w:val="22"/>
                <w:szCs w:val="22"/>
              </w:rPr>
              <w:t>Meziroční % vývoj</w:t>
            </w:r>
          </w:p>
        </w:tc>
      </w:tr>
    </w:tbl>
    <w:p w:rsidR="00A64035" w:rsidRPr="00A12323"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Default="00A64035" w:rsidP="00A64035">
      <w:pPr>
        <w:jc w:val="both"/>
        <w:rPr>
          <w:rFonts w:cs="Arial"/>
          <w:sz w:val="22"/>
          <w:szCs w:val="22"/>
        </w:rPr>
      </w:pPr>
    </w:p>
    <w:p w:rsidR="00A64035" w:rsidRPr="00A12323" w:rsidRDefault="00A64035" w:rsidP="00A64035">
      <w:pPr>
        <w:jc w:val="both"/>
        <w:rPr>
          <w:rFonts w:cs="Arial"/>
          <w:sz w:val="22"/>
          <w:szCs w:val="22"/>
        </w:rPr>
      </w:pPr>
    </w:p>
    <w:p w:rsidR="00A64035" w:rsidRPr="00EA6F7C" w:rsidRDefault="00A64035" w:rsidP="00557F1F">
      <w:pPr>
        <w:pStyle w:val="Nadpis1"/>
        <w:numPr>
          <w:ilvl w:val="0"/>
          <w:numId w:val="3"/>
        </w:numPr>
        <w:jc w:val="left"/>
      </w:pPr>
      <w:r w:rsidRPr="00406C54">
        <w:br w:type="page"/>
      </w:r>
      <w:r>
        <w:lastRenderedPageBreak/>
        <w:t>NÁVRH ZDROJŮ FINANCOVÁNÍ PROVOZ ŠKOL A REPRODUKCE INVESTIČNÍHO MAJETKU</w:t>
      </w:r>
    </w:p>
    <w:p w:rsidR="00A64035" w:rsidRPr="00297902" w:rsidRDefault="00A64035" w:rsidP="00A64035">
      <w:pPr>
        <w:autoSpaceDE w:val="0"/>
        <w:autoSpaceDN w:val="0"/>
        <w:adjustRightInd w:val="0"/>
        <w:rPr>
          <w:b/>
          <w:bCs/>
          <w:iCs/>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Zdroje:</w:t>
      </w:r>
    </w:p>
    <w:p w:rsidR="00A64035" w:rsidRPr="00DB1459" w:rsidRDefault="00A64035" w:rsidP="00557F1F">
      <w:pPr>
        <w:pStyle w:val="Odstavecseseznamem"/>
        <w:numPr>
          <w:ilvl w:val="0"/>
          <w:numId w:val="9"/>
        </w:numPr>
        <w:autoSpaceDE w:val="0"/>
        <w:autoSpaceDN w:val="0"/>
        <w:adjustRightInd w:val="0"/>
        <w:contextualSpacing/>
        <w:rPr>
          <w:rFonts w:ascii="Arial" w:hAnsi="Arial" w:cs="Arial"/>
          <w:bCs/>
          <w:iCs/>
          <w:sz w:val="22"/>
          <w:szCs w:val="22"/>
        </w:rPr>
      </w:pPr>
      <w:r w:rsidRPr="00DB1459">
        <w:rPr>
          <w:rFonts w:ascii="Arial" w:hAnsi="Arial" w:cs="Arial"/>
          <w:bCs/>
          <w:iCs/>
          <w:sz w:val="22"/>
          <w:szCs w:val="22"/>
        </w:rPr>
        <w:t>Provozní příspěvek</w:t>
      </w:r>
    </w:p>
    <w:p w:rsidR="00A64035" w:rsidRPr="00DB1459" w:rsidRDefault="00A64035" w:rsidP="00557F1F">
      <w:pPr>
        <w:pStyle w:val="Odstavecseseznamem"/>
        <w:numPr>
          <w:ilvl w:val="0"/>
          <w:numId w:val="9"/>
        </w:numPr>
        <w:autoSpaceDE w:val="0"/>
        <w:autoSpaceDN w:val="0"/>
        <w:adjustRightInd w:val="0"/>
        <w:contextualSpacing/>
        <w:rPr>
          <w:rFonts w:ascii="Arial" w:hAnsi="Arial" w:cs="Arial"/>
          <w:bCs/>
          <w:iCs/>
          <w:sz w:val="22"/>
          <w:szCs w:val="22"/>
        </w:rPr>
      </w:pPr>
      <w:r w:rsidRPr="00DB1459">
        <w:rPr>
          <w:rFonts w:ascii="Arial" w:hAnsi="Arial" w:cs="Arial"/>
          <w:bCs/>
          <w:iCs/>
          <w:sz w:val="22"/>
          <w:szCs w:val="22"/>
        </w:rPr>
        <w:t>Investiční fond</w:t>
      </w:r>
    </w:p>
    <w:p w:rsidR="00A64035" w:rsidRPr="00DB1459" w:rsidRDefault="00A64035" w:rsidP="00557F1F">
      <w:pPr>
        <w:pStyle w:val="Odstavecseseznamem"/>
        <w:numPr>
          <w:ilvl w:val="0"/>
          <w:numId w:val="9"/>
        </w:numPr>
        <w:autoSpaceDE w:val="0"/>
        <w:autoSpaceDN w:val="0"/>
        <w:adjustRightInd w:val="0"/>
        <w:contextualSpacing/>
        <w:rPr>
          <w:rFonts w:ascii="Arial" w:hAnsi="Arial" w:cs="Arial"/>
          <w:bCs/>
          <w:iCs/>
          <w:sz w:val="22"/>
          <w:szCs w:val="22"/>
        </w:rPr>
      </w:pPr>
      <w:r w:rsidRPr="00DB1459">
        <w:rPr>
          <w:rFonts w:ascii="Arial" w:hAnsi="Arial" w:cs="Arial"/>
          <w:bCs/>
          <w:iCs/>
          <w:sz w:val="22"/>
          <w:szCs w:val="22"/>
        </w:rPr>
        <w:t>Fond oprav majetku města</w:t>
      </w:r>
    </w:p>
    <w:p w:rsidR="00A64035" w:rsidRPr="00DB1459" w:rsidRDefault="00A64035" w:rsidP="00557F1F">
      <w:pPr>
        <w:pStyle w:val="Odstavecseseznamem"/>
        <w:numPr>
          <w:ilvl w:val="0"/>
          <w:numId w:val="9"/>
        </w:numPr>
        <w:autoSpaceDE w:val="0"/>
        <w:autoSpaceDN w:val="0"/>
        <w:adjustRightInd w:val="0"/>
        <w:contextualSpacing/>
        <w:rPr>
          <w:rFonts w:ascii="Arial" w:hAnsi="Arial" w:cs="Arial"/>
          <w:bCs/>
          <w:iCs/>
          <w:sz w:val="22"/>
          <w:szCs w:val="22"/>
        </w:rPr>
      </w:pPr>
      <w:r w:rsidRPr="00DB1459">
        <w:rPr>
          <w:rFonts w:ascii="Arial" w:hAnsi="Arial" w:cs="Arial"/>
          <w:bCs/>
          <w:iCs/>
          <w:sz w:val="22"/>
          <w:szCs w:val="22"/>
        </w:rPr>
        <w:t>Finanční prost</w:t>
      </w:r>
      <w:r w:rsidRPr="00DB1459">
        <w:rPr>
          <w:rFonts w:ascii="Arial" w:hAnsi="Arial" w:cs="Arial"/>
          <w:sz w:val="22"/>
          <w:szCs w:val="22"/>
        </w:rPr>
        <w:t>ř</w:t>
      </w:r>
      <w:r w:rsidRPr="00DB1459">
        <w:rPr>
          <w:rFonts w:ascii="Arial" w:hAnsi="Arial" w:cs="Arial"/>
          <w:bCs/>
          <w:iCs/>
          <w:sz w:val="22"/>
          <w:szCs w:val="22"/>
        </w:rPr>
        <w:t>edky z dota</w:t>
      </w:r>
      <w:r w:rsidRPr="00DB1459">
        <w:rPr>
          <w:rFonts w:ascii="Arial" w:hAnsi="Arial" w:cs="Arial"/>
          <w:sz w:val="22"/>
          <w:szCs w:val="22"/>
        </w:rPr>
        <w:t>č</w:t>
      </w:r>
      <w:r w:rsidRPr="00DB1459">
        <w:rPr>
          <w:rFonts w:ascii="Arial" w:hAnsi="Arial" w:cs="Arial"/>
          <w:bCs/>
          <w:iCs/>
          <w:sz w:val="22"/>
          <w:szCs w:val="22"/>
        </w:rPr>
        <w:t>ních titulů</w:t>
      </w:r>
      <w:r w:rsidRPr="00DB1459">
        <w:rPr>
          <w:rFonts w:ascii="Arial" w:hAnsi="Arial" w:cs="Arial"/>
          <w:sz w:val="22"/>
          <w:szCs w:val="22"/>
        </w:rPr>
        <w:t xml:space="preserve"> </w:t>
      </w:r>
      <w:r w:rsidRPr="00DB1459">
        <w:rPr>
          <w:rFonts w:ascii="Arial" w:hAnsi="Arial" w:cs="Arial"/>
          <w:bCs/>
          <w:iCs/>
          <w:sz w:val="22"/>
          <w:szCs w:val="22"/>
        </w:rPr>
        <w:t>SR, EU, dary, granty</w:t>
      </w:r>
    </w:p>
    <w:p w:rsidR="00A64035" w:rsidRPr="00DB1459" w:rsidRDefault="00A64035" w:rsidP="00A64035">
      <w:pPr>
        <w:autoSpaceDE w:val="0"/>
        <w:autoSpaceDN w:val="0"/>
        <w:adjustRightInd w:val="0"/>
        <w:rPr>
          <w:rFonts w:cs="Arial"/>
          <w:bCs/>
          <w:iCs/>
          <w:sz w:val="22"/>
          <w:szCs w:val="22"/>
        </w:rPr>
      </w:pPr>
    </w:p>
    <w:p w:rsidR="00A64035" w:rsidRPr="00DB1459" w:rsidRDefault="00A64035" w:rsidP="00557F1F">
      <w:pPr>
        <w:pStyle w:val="Nadpis2"/>
        <w:numPr>
          <w:ilvl w:val="1"/>
          <w:numId w:val="3"/>
        </w:numPr>
      </w:pPr>
      <w:r>
        <w:t>PROVOZNÍ PŘÍSPĚVEK</w:t>
      </w:r>
    </w:p>
    <w:p w:rsidR="00A64035" w:rsidRPr="00DB1459" w:rsidRDefault="00A64035" w:rsidP="00A64035">
      <w:pPr>
        <w:autoSpaceDE w:val="0"/>
        <w:autoSpaceDN w:val="0"/>
        <w:adjustRightInd w:val="0"/>
        <w:rPr>
          <w:rFonts w:cs="Arial"/>
          <w:bCs/>
          <w:iCs/>
          <w:sz w:val="22"/>
          <w:szCs w:val="22"/>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Provozní příspěvek je s</w:t>
      </w:r>
      <w:r>
        <w:rPr>
          <w:rFonts w:cs="Arial"/>
          <w:bCs/>
          <w:iCs/>
          <w:sz w:val="22"/>
          <w:szCs w:val="22"/>
        </w:rPr>
        <w:t>es</w:t>
      </w:r>
      <w:r w:rsidRPr="00DB1459">
        <w:rPr>
          <w:rFonts w:cs="Arial"/>
          <w:bCs/>
          <w:iCs/>
          <w:sz w:val="22"/>
          <w:szCs w:val="22"/>
        </w:rPr>
        <w:t>tavován každoročně dle možností rozpočtu města. Při vyjednávání jsou vždy posouzeny potřeby školy. Výhled výše příspěvku je součástí každoročně aktualizovaného rozpočtového výhledu města.</w:t>
      </w:r>
    </w:p>
    <w:p w:rsidR="00A64035" w:rsidRPr="00DB1459" w:rsidRDefault="00A64035" w:rsidP="00A64035">
      <w:pPr>
        <w:autoSpaceDE w:val="0"/>
        <w:autoSpaceDN w:val="0"/>
        <w:adjustRightInd w:val="0"/>
        <w:rPr>
          <w:rFonts w:cs="Arial"/>
          <w:bCs/>
          <w:iCs/>
          <w:sz w:val="22"/>
          <w:szCs w:val="22"/>
        </w:rPr>
      </w:pPr>
    </w:p>
    <w:p w:rsidR="00A64035" w:rsidRPr="00DB1459" w:rsidRDefault="00A64035" w:rsidP="00A64035">
      <w:pPr>
        <w:autoSpaceDE w:val="0"/>
        <w:autoSpaceDN w:val="0"/>
        <w:adjustRightInd w:val="0"/>
        <w:rPr>
          <w:rFonts w:cs="Arial"/>
          <w:sz w:val="22"/>
          <w:szCs w:val="22"/>
        </w:rPr>
      </w:pPr>
      <w:r w:rsidRPr="00DB1459">
        <w:rPr>
          <w:rFonts w:cs="Arial"/>
          <w:sz w:val="22"/>
          <w:szCs w:val="22"/>
        </w:rPr>
        <w:t>Dopad na rozpočet města</w:t>
      </w:r>
      <w:r>
        <w:rPr>
          <w:rFonts w:cs="Arial"/>
          <w:sz w:val="22"/>
          <w:szCs w:val="22"/>
        </w:rPr>
        <w:t>:</w:t>
      </w:r>
    </w:p>
    <w:p w:rsidR="00A64035" w:rsidRPr="00DB1459" w:rsidRDefault="00A64035" w:rsidP="00A64035">
      <w:pPr>
        <w:autoSpaceDE w:val="0"/>
        <w:autoSpaceDN w:val="0"/>
        <w:adjustRightInd w:val="0"/>
        <w:rPr>
          <w:rFonts w:cs="Arial"/>
          <w:sz w:val="22"/>
          <w:szCs w:val="22"/>
        </w:rPr>
      </w:pPr>
      <w:r w:rsidRPr="00DB1459">
        <w:rPr>
          <w:rFonts w:cs="Arial"/>
          <w:sz w:val="22"/>
          <w:szCs w:val="22"/>
        </w:rPr>
        <w:t>Ve výši 5</w:t>
      </w:r>
      <w:r w:rsidRPr="00DB1459">
        <w:rPr>
          <w:rFonts w:cs="Arial"/>
          <w:bCs/>
          <w:sz w:val="22"/>
          <w:szCs w:val="22"/>
        </w:rPr>
        <w:t>2.500.000,- K</w:t>
      </w:r>
      <w:r w:rsidRPr="00DB1459">
        <w:rPr>
          <w:rFonts w:cs="Arial"/>
          <w:sz w:val="22"/>
          <w:szCs w:val="22"/>
        </w:rPr>
        <w:t xml:space="preserve">č </w:t>
      </w:r>
      <w:r w:rsidRPr="00DB1459">
        <w:rPr>
          <w:rFonts w:cs="Arial"/>
          <w:bCs/>
          <w:sz w:val="22"/>
          <w:szCs w:val="22"/>
        </w:rPr>
        <w:t>až 57.000.000,- K</w:t>
      </w:r>
      <w:r w:rsidRPr="00DB1459">
        <w:rPr>
          <w:rFonts w:cs="Arial"/>
          <w:sz w:val="22"/>
          <w:szCs w:val="22"/>
        </w:rPr>
        <w:t>č. (Dle RV pro období let 2012 – 2016).</w:t>
      </w:r>
    </w:p>
    <w:p w:rsidR="00A64035" w:rsidRDefault="00A64035" w:rsidP="00A64035">
      <w:pPr>
        <w:autoSpaceDE w:val="0"/>
        <w:autoSpaceDN w:val="0"/>
        <w:adjustRightInd w:val="0"/>
        <w:rPr>
          <w:rFonts w:cs="Arial"/>
          <w:sz w:val="22"/>
          <w:szCs w:val="22"/>
        </w:rPr>
      </w:pPr>
      <w:r w:rsidRPr="00DB1459">
        <w:rPr>
          <w:rFonts w:cs="Arial"/>
          <w:sz w:val="22"/>
          <w:szCs w:val="22"/>
        </w:rPr>
        <w:t xml:space="preserve">Zastupitelstvo města je oprávněno rozhodnout o změně objemu provozních výdajů. Zohledněny budou změny legislativy. </w:t>
      </w:r>
    </w:p>
    <w:p w:rsidR="00A64035" w:rsidRDefault="00A64035" w:rsidP="00A64035">
      <w:pPr>
        <w:autoSpaceDE w:val="0"/>
        <w:autoSpaceDN w:val="0"/>
        <w:adjustRightInd w:val="0"/>
        <w:rPr>
          <w:rFonts w:cs="Arial"/>
          <w:bCs/>
          <w:iCs/>
          <w:sz w:val="22"/>
          <w:szCs w:val="22"/>
        </w:rPr>
      </w:pPr>
    </w:p>
    <w:p w:rsidR="00A64035" w:rsidRDefault="00A64035" w:rsidP="00557F1F">
      <w:pPr>
        <w:pStyle w:val="Nadpis2"/>
        <w:numPr>
          <w:ilvl w:val="1"/>
          <w:numId w:val="3"/>
        </w:numPr>
      </w:pPr>
      <w:r>
        <w:t xml:space="preserve">INVESTIČNÍ FOND </w:t>
      </w:r>
    </w:p>
    <w:p w:rsidR="00A64035" w:rsidRDefault="00A64035" w:rsidP="00A64035"/>
    <w:p w:rsidR="00A64035" w:rsidRPr="00DB1459" w:rsidRDefault="00A64035" w:rsidP="00A64035">
      <w:pPr>
        <w:rPr>
          <w:sz w:val="22"/>
          <w:szCs w:val="22"/>
        </w:rPr>
      </w:pPr>
      <w:r w:rsidRPr="00DB1459">
        <w:rPr>
          <w:sz w:val="22"/>
          <w:szCs w:val="22"/>
        </w:rPr>
        <w:t>Zdroj č. 2</w:t>
      </w:r>
      <w:r>
        <w:rPr>
          <w:sz w:val="22"/>
          <w:szCs w:val="22"/>
        </w:rPr>
        <w:t xml:space="preserve">: </w:t>
      </w:r>
      <w:r w:rsidRPr="00DB1459">
        <w:rPr>
          <w:sz w:val="22"/>
          <w:szCs w:val="22"/>
        </w:rPr>
        <w:t>Investiční fond – odpisy nemovitého majetku</w:t>
      </w:r>
    </w:p>
    <w:p w:rsidR="00A64035" w:rsidRPr="00DB1459" w:rsidRDefault="00A64035" w:rsidP="00A64035">
      <w:pPr>
        <w:rPr>
          <w:rFonts w:cs="Arial"/>
          <w:sz w:val="22"/>
          <w:szCs w:val="22"/>
        </w:rPr>
      </w:pPr>
      <w:r w:rsidRPr="00DB1459">
        <w:t>Inv</w:t>
      </w:r>
      <w:r w:rsidRPr="00DB1459">
        <w:rPr>
          <w:rFonts w:cs="Arial"/>
          <w:bCs/>
          <w:iCs/>
          <w:sz w:val="22"/>
          <w:szCs w:val="22"/>
        </w:rPr>
        <w:t>estiční</w:t>
      </w:r>
      <w:r>
        <w:rPr>
          <w:rFonts w:cs="Arial"/>
          <w:bCs/>
          <w:iCs/>
          <w:sz w:val="22"/>
          <w:szCs w:val="22"/>
        </w:rPr>
        <w:t xml:space="preserve"> </w:t>
      </w:r>
      <w:r w:rsidRPr="00DB1459">
        <w:rPr>
          <w:rFonts w:cs="Arial"/>
          <w:bCs/>
          <w:iCs/>
          <w:sz w:val="22"/>
          <w:szCs w:val="22"/>
        </w:rPr>
        <w:t xml:space="preserve">fond je naplňován dle </w:t>
      </w:r>
      <w:r w:rsidRPr="00DB1459">
        <w:rPr>
          <w:rFonts w:cs="Arial"/>
          <w:sz w:val="22"/>
          <w:szCs w:val="22"/>
        </w:rPr>
        <w:t>§ 31 odst. 1 písm. a) zákona č. 250/2000 Sb., tzv. malá rozpočtová pravidla. O</w:t>
      </w:r>
      <w:r w:rsidRPr="00DB1459">
        <w:rPr>
          <w:rFonts w:cs="Arial"/>
          <w:bCs/>
          <w:sz w:val="22"/>
          <w:szCs w:val="22"/>
        </w:rPr>
        <w:t>dpisy provádí příspěvková organizace na základě</w:t>
      </w:r>
      <w:r w:rsidRPr="00DB1459">
        <w:rPr>
          <w:rFonts w:cs="Arial"/>
          <w:sz w:val="22"/>
          <w:szCs w:val="22"/>
        </w:rPr>
        <w:t xml:space="preserve"> </w:t>
      </w:r>
      <w:r w:rsidRPr="00DB1459">
        <w:rPr>
          <w:rFonts w:cs="Arial"/>
          <w:bCs/>
          <w:sz w:val="22"/>
          <w:szCs w:val="22"/>
        </w:rPr>
        <w:t>odpisového plánu schváleného zřizovatelem. Odpisy jsou z účetního hlediska chápány jako provozní náklad, musí být tedy finančně</w:t>
      </w:r>
      <w:r w:rsidRPr="00DB1459">
        <w:rPr>
          <w:rFonts w:cs="Arial"/>
          <w:sz w:val="22"/>
          <w:szCs w:val="22"/>
        </w:rPr>
        <w:t xml:space="preserve"> </w:t>
      </w:r>
      <w:r w:rsidRPr="00DB1459">
        <w:rPr>
          <w:rFonts w:cs="Arial"/>
          <w:bCs/>
          <w:sz w:val="22"/>
          <w:szCs w:val="22"/>
        </w:rPr>
        <w:t xml:space="preserve">pokryty provozním příspěvkem zřizovatele. </w:t>
      </w:r>
      <w:r w:rsidRPr="00DB1459">
        <w:rPr>
          <w:rFonts w:cs="Arial"/>
          <w:sz w:val="22"/>
          <w:szCs w:val="22"/>
        </w:rPr>
        <w:t>Zřizovatel dle svých rozpočtových možností stanoví příspěvkové organizaci celkový objem prostředků na odpisy, tedy i dobu odpisování majetku.</w:t>
      </w:r>
    </w:p>
    <w:p w:rsidR="00A64035" w:rsidRPr="00DB1459" w:rsidRDefault="00A64035" w:rsidP="00A64035">
      <w:pPr>
        <w:autoSpaceDE w:val="0"/>
        <w:autoSpaceDN w:val="0"/>
        <w:adjustRightInd w:val="0"/>
        <w:rPr>
          <w:rFonts w:cs="Arial"/>
          <w:bCs/>
          <w:iCs/>
          <w:sz w:val="22"/>
          <w:szCs w:val="22"/>
        </w:rPr>
      </w:pPr>
      <w:r w:rsidRPr="00DB1459">
        <w:rPr>
          <w:rFonts w:cs="Arial"/>
          <w:sz w:val="22"/>
          <w:szCs w:val="22"/>
        </w:rPr>
        <w:t>Usoudí-li zřizovatel, že investiční potřeba organizace není natolik vysoká, může nařídit odvod z investičního fondu do rozpočtu zřizovatele (takto se koncepčně rozhodl postupovat u odpisů nemovitého majetku)</w:t>
      </w:r>
    </w:p>
    <w:p w:rsidR="00A64035" w:rsidRPr="00DB1459" w:rsidRDefault="00A64035" w:rsidP="00A64035">
      <w:pPr>
        <w:autoSpaceDE w:val="0"/>
        <w:autoSpaceDN w:val="0"/>
        <w:adjustRightInd w:val="0"/>
        <w:rPr>
          <w:rFonts w:cs="Arial"/>
          <w:bCs/>
          <w:iCs/>
          <w:sz w:val="22"/>
          <w:szCs w:val="22"/>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Pozitiva využití zdroje:</w:t>
      </w:r>
    </w:p>
    <w:p w:rsidR="00A64035" w:rsidRPr="00DB1459" w:rsidRDefault="00A64035" w:rsidP="00557F1F">
      <w:pPr>
        <w:pStyle w:val="Odstavecseseznamem"/>
        <w:numPr>
          <w:ilvl w:val="0"/>
          <w:numId w:val="28"/>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ravidelná tvorba finančních zdrojů investiční činnosti</w:t>
      </w:r>
      <w:r>
        <w:rPr>
          <w:rFonts w:ascii="Arial" w:hAnsi="Arial" w:cs="Arial"/>
          <w:sz w:val="22"/>
          <w:szCs w:val="22"/>
        </w:rPr>
        <w:t>,</w:t>
      </w:r>
      <w:r w:rsidRPr="00DB1459">
        <w:rPr>
          <w:rFonts w:ascii="Arial" w:hAnsi="Arial" w:cs="Arial"/>
          <w:sz w:val="22"/>
          <w:szCs w:val="22"/>
        </w:rPr>
        <w:t xml:space="preserve"> </w:t>
      </w:r>
    </w:p>
    <w:p w:rsidR="00A64035" w:rsidRPr="00DB1459" w:rsidRDefault="00A64035" w:rsidP="00557F1F">
      <w:pPr>
        <w:pStyle w:val="Odstavecseseznamem"/>
        <w:numPr>
          <w:ilvl w:val="0"/>
          <w:numId w:val="28"/>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ružné využívání zdrojů k řešení aktuálních problémů školy</w:t>
      </w:r>
      <w:r>
        <w:rPr>
          <w:rFonts w:ascii="Arial" w:hAnsi="Arial" w:cs="Arial"/>
          <w:sz w:val="22"/>
          <w:szCs w:val="22"/>
        </w:rPr>
        <w:t>,</w:t>
      </w:r>
    </w:p>
    <w:p w:rsidR="00A64035" w:rsidRPr="00DB1459" w:rsidRDefault="00A64035" w:rsidP="00557F1F">
      <w:pPr>
        <w:pStyle w:val="Odstavecseseznamem"/>
        <w:numPr>
          <w:ilvl w:val="0"/>
          <w:numId w:val="28"/>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řehled zřizovatele o využití zdrojů investičního fondu</w:t>
      </w:r>
      <w:r>
        <w:rPr>
          <w:rFonts w:ascii="Arial" w:hAnsi="Arial" w:cs="Arial"/>
          <w:sz w:val="22"/>
          <w:szCs w:val="22"/>
        </w:rPr>
        <w:t>,</w:t>
      </w:r>
    </w:p>
    <w:p w:rsidR="00A64035" w:rsidRPr="00DB1459" w:rsidRDefault="00A64035" w:rsidP="00557F1F">
      <w:pPr>
        <w:pStyle w:val="Odstavecseseznamem"/>
        <w:numPr>
          <w:ilvl w:val="0"/>
          <w:numId w:val="28"/>
        </w:numPr>
        <w:autoSpaceDE w:val="0"/>
        <w:autoSpaceDN w:val="0"/>
        <w:adjustRightInd w:val="0"/>
        <w:ind w:left="723"/>
        <w:contextualSpacing/>
        <w:rPr>
          <w:rFonts w:ascii="Arial" w:hAnsi="Arial" w:cs="Arial"/>
          <w:sz w:val="22"/>
          <w:szCs w:val="22"/>
        </w:rPr>
      </w:pPr>
      <w:r>
        <w:rPr>
          <w:rFonts w:ascii="Arial" w:hAnsi="Arial" w:cs="Arial"/>
          <w:sz w:val="22"/>
          <w:szCs w:val="22"/>
        </w:rPr>
        <w:t>m</w:t>
      </w:r>
      <w:r w:rsidRPr="00DB1459">
        <w:rPr>
          <w:rFonts w:ascii="Arial" w:hAnsi="Arial" w:cs="Arial"/>
          <w:sz w:val="22"/>
          <w:szCs w:val="22"/>
        </w:rPr>
        <w:t xml:space="preserve">ožnost školy </w:t>
      </w:r>
      <w:r>
        <w:rPr>
          <w:rFonts w:ascii="Arial" w:hAnsi="Arial" w:cs="Arial"/>
          <w:sz w:val="22"/>
          <w:szCs w:val="22"/>
        </w:rPr>
        <w:t>„ušetřit si“ na větší investici,</w:t>
      </w:r>
    </w:p>
    <w:p w:rsidR="00A64035" w:rsidRPr="00DB1459" w:rsidRDefault="00A64035" w:rsidP="00557F1F">
      <w:pPr>
        <w:pStyle w:val="Odstavecseseznamem"/>
        <w:numPr>
          <w:ilvl w:val="0"/>
          <w:numId w:val="28"/>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 xml:space="preserve">ostupná </w:t>
      </w:r>
      <w:r>
        <w:rPr>
          <w:rFonts w:ascii="Arial" w:hAnsi="Arial" w:cs="Arial"/>
          <w:sz w:val="22"/>
          <w:szCs w:val="22"/>
        </w:rPr>
        <w:t>obnova všech školských zařízení,</w:t>
      </w:r>
    </w:p>
    <w:p w:rsidR="00A64035" w:rsidRPr="00DB1459" w:rsidRDefault="00A64035" w:rsidP="00557F1F">
      <w:pPr>
        <w:pStyle w:val="Odstavecseseznamem"/>
        <w:numPr>
          <w:ilvl w:val="0"/>
          <w:numId w:val="28"/>
        </w:numPr>
        <w:autoSpaceDE w:val="0"/>
        <w:autoSpaceDN w:val="0"/>
        <w:adjustRightInd w:val="0"/>
        <w:ind w:left="723"/>
        <w:contextualSpacing/>
        <w:rPr>
          <w:rFonts w:ascii="Arial" w:hAnsi="Arial" w:cs="Arial"/>
          <w:sz w:val="22"/>
          <w:szCs w:val="22"/>
        </w:rPr>
      </w:pPr>
      <w:r>
        <w:rPr>
          <w:rFonts w:ascii="Arial" w:hAnsi="Arial" w:cs="Arial"/>
          <w:sz w:val="22"/>
          <w:szCs w:val="22"/>
        </w:rPr>
        <w:t>v</w:t>
      </w:r>
      <w:r w:rsidRPr="00DB1459">
        <w:rPr>
          <w:rFonts w:ascii="Arial" w:hAnsi="Arial" w:cs="Arial"/>
          <w:sz w:val="22"/>
          <w:szCs w:val="22"/>
        </w:rPr>
        <w:t>yužití uvedeného zdroje je vhodné pro menší investice v oblasti obnovy škol – obnovy podlahových krytin, osvětlení, rekonstrukce sociálních zařízení, nátěry oken, malování apod.</w:t>
      </w:r>
    </w:p>
    <w:p w:rsidR="00A64035" w:rsidRPr="00DB1459" w:rsidRDefault="00A64035" w:rsidP="00A64035">
      <w:pPr>
        <w:pStyle w:val="Odstavecseseznamem"/>
        <w:autoSpaceDE w:val="0"/>
        <w:autoSpaceDN w:val="0"/>
        <w:adjustRightInd w:val="0"/>
        <w:ind w:left="1080"/>
        <w:rPr>
          <w:rFonts w:ascii="Arial" w:hAnsi="Arial" w:cs="Arial"/>
          <w:sz w:val="22"/>
          <w:szCs w:val="22"/>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Negativa využití zdroje:</w:t>
      </w:r>
    </w:p>
    <w:p w:rsidR="00A64035" w:rsidRPr="0075074A" w:rsidRDefault="00A64035" w:rsidP="00557F1F">
      <w:pPr>
        <w:pStyle w:val="Odstavecseseznamem"/>
        <w:numPr>
          <w:ilvl w:val="0"/>
          <w:numId w:val="29"/>
        </w:numPr>
        <w:autoSpaceDE w:val="0"/>
        <w:autoSpaceDN w:val="0"/>
        <w:adjustRightInd w:val="0"/>
        <w:ind w:left="723"/>
        <w:contextualSpacing/>
        <w:rPr>
          <w:rFonts w:cs="Arial"/>
          <w:sz w:val="22"/>
          <w:szCs w:val="22"/>
        </w:rPr>
      </w:pPr>
      <w:r w:rsidRPr="0075074A">
        <w:rPr>
          <w:rFonts w:cs="Arial"/>
          <w:sz w:val="22"/>
          <w:szCs w:val="22"/>
        </w:rPr>
        <w:t xml:space="preserve">nesoulad investičních potřeb s výší zdroje, </w:t>
      </w:r>
    </w:p>
    <w:p w:rsidR="00A64035" w:rsidRPr="0075074A" w:rsidRDefault="00A64035" w:rsidP="00557F1F">
      <w:pPr>
        <w:pStyle w:val="Odstavecseseznamem"/>
        <w:numPr>
          <w:ilvl w:val="0"/>
          <w:numId w:val="29"/>
        </w:numPr>
        <w:autoSpaceDE w:val="0"/>
        <w:autoSpaceDN w:val="0"/>
        <w:adjustRightInd w:val="0"/>
        <w:ind w:left="723"/>
        <w:contextualSpacing/>
        <w:rPr>
          <w:rFonts w:cs="Arial"/>
          <w:sz w:val="22"/>
          <w:szCs w:val="22"/>
        </w:rPr>
      </w:pPr>
      <w:r w:rsidRPr="0075074A">
        <w:rPr>
          <w:rFonts w:cs="Arial"/>
          <w:sz w:val="22"/>
          <w:szCs w:val="22"/>
        </w:rPr>
        <w:t>větší investice do zařízení není možné pokrýt z odpisů (dlouhodobé „šetření“ zdrojů),</w:t>
      </w:r>
    </w:p>
    <w:p w:rsidR="00A64035" w:rsidRPr="0075074A" w:rsidRDefault="00A64035" w:rsidP="00557F1F">
      <w:pPr>
        <w:pStyle w:val="Odstavecseseznamem"/>
        <w:numPr>
          <w:ilvl w:val="0"/>
          <w:numId w:val="29"/>
        </w:numPr>
        <w:autoSpaceDE w:val="0"/>
        <w:autoSpaceDN w:val="0"/>
        <w:adjustRightInd w:val="0"/>
        <w:ind w:left="723"/>
        <w:contextualSpacing/>
        <w:rPr>
          <w:rFonts w:cs="Arial"/>
          <w:sz w:val="22"/>
          <w:szCs w:val="22"/>
        </w:rPr>
      </w:pPr>
      <w:r w:rsidRPr="0075074A">
        <w:rPr>
          <w:rFonts w:cs="Arial"/>
          <w:sz w:val="22"/>
          <w:szCs w:val="22"/>
        </w:rPr>
        <w:t>zatížení ředitelů škol investiční činností.</w:t>
      </w:r>
    </w:p>
    <w:p w:rsidR="00A64035" w:rsidRPr="00DB1459" w:rsidRDefault="00A64035" w:rsidP="00A64035">
      <w:pPr>
        <w:autoSpaceDE w:val="0"/>
        <w:autoSpaceDN w:val="0"/>
        <w:adjustRightInd w:val="0"/>
        <w:rPr>
          <w:rFonts w:cs="Arial"/>
          <w:bCs/>
          <w:iCs/>
          <w:sz w:val="22"/>
          <w:szCs w:val="22"/>
        </w:rPr>
      </w:pPr>
    </w:p>
    <w:p w:rsidR="00012AD9" w:rsidRDefault="00012AD9" w:rsidP="00A64035">
      <w:pPr>
        <w:autoSpaceDE w:val="0"/>
        <w:autoSpaceDN w:val="0"/>
        <w:adjustRightInd w:val="0"/>
        <w:rPr>
          <w:rFonts w:cs="Arial"/>
          <w:sz w:val="22"/>
          <w:szCs w:val="22"/>
        </w:rPr>
      </w:pPr>
    </w:p>
    <w:p w:rsidR="00012AD9" w:rsidRDefault="00012AD9" w:rsidP="00A64035">
      <w:pPr>
        <w:autoSpaceDE w:val="0"/>
        <w:autoSpaceDN w:val="0"/>
        <w:adjustRightInd w:val="0"/>
        <w:rPr>
          <w:rFonts w:cs="Arial"/>
          <w:sz w:val="22"/>
          <w:szCs w:val="22"/>
        </w:rPr>
      </w:pPr>
    </w:p>
    <w:p w:rsidR="00A64035" w:rsidRPr="00DB1459" w:rsidRDefault="00A64035" w:rsidP="00A64035">
      <w:pPr>
        <w:autoSpaceDE w:val="0"/>
        <w:autoSpaceDN w:val="0"/>
        <w:adjustRightInd w:val="0"/>
        <w:rPr>
          <w:rFonts w:cs="Arial"/>
          <w:sz w:val="22"/>
          <w:szCs w:val="22"/>
        </w:rPr>
      </w:pPr>
      <w:r>
        <w:rPr>
          <w:rFonts w:cs="Arial"/>
          <w:sz w:val="22"/>
          <w:szCs w:val="22"/>
        </w:rPr>
        <w:lastRenderedPageBreak/>
        <w:t>Dopad na rozpočet města:</w:t>
      </w:r>
    </w:p>
    <w:p w:rsidR="00A64035" w:rsidRDefault="00A64035" w:rsidP="00A64035">
      <w:pPr>
        <w:autoSpaceDE w:val="0"/>
        <w:autoSpaceDN w:val="0"/>
        <w:adjustRightInd w:val="0"/>
        <w:rPr>
          <w:rFonts w:cs="Arial"/>
          <w:sz w:val="22"/>
          <w:szCs w:val="22"/>
        </w:rPr>
      </w:pPr>
      <w:r w:rsidRPr="00DB1459">
        <w:rPr>
          <w:rFonts w:cs="Arial"/>
          <w:sz w:val="22"/>
          <w:szCs w:val="22"/>
        </w:rPr>
        <w:t>V roce 2012 výši 1.993.000,</w:t>
      </w:r>
      <w:r w:rsidRPr="00DB1459">
        <w:rPr>
          <w:rFonts w:cs="Arial"/>
          <w:bCs/>
          <w:sz w:val="22"/>
          <w:szCs w:val="22"/>
        </w:rPr>
        <w:t>- K</w:t>
      </w:r>
      <w:r w:rsidRPr="00DB1459">
        <w:rPr>
          <w:rFonts w:cs="Arial"/>
          <w:sz w:val="22"/>
          <w:szCs w:val="22"/>
        </w:rPr>
        <w:t>č. V dalších letech dle každoročně zřizovatelem schvalovaného odpisového plánu. Zohledněno v provozním příspěvku – viz</w:t>
      </w:r>
      <w:r>
        <w:rPr>
          <w:rFonts w:cs="Arial"/>
          <w:sz w:val="22"/>
          <w:szCs w:val="22"/>
        </w:rPr>
        <w:t xml:space="preserve"> </w:t>
      </w:r>
      <w:r w:rsidRPr="00DB1459">
        <w:rPr>
          <w:rFonts w:cs="Arial"/>
          <w:sz w:val="22"/>
          <w:szCs w:val="22"/>
        </w:rPr>
        <w:t>zdroj 1.</w:t>
      </w:r>
    </w:p>
    <w:p w:rsidR="00A64035" w:rsidRDefault="00A64035" w:rsidP="00A64035">
      <w:pPr>
        <w:autoSpaceDE w:val="0"/>
        <w:autoSpaceDN w:val="0"/>
        <w:adjustRightInd w:val="0"/>
        <w:rPr>
          <w:rFonts w:cs="Arial"/>
          <w:sz w:val="22"/>
          <w:szCs w:val="22"/>
        </w:rPr>
      </w:pPr>
    </w:p>
    <w:p w:rsidR="00A64035" w:rsidRPr="00DB1459" w:rsidRDefault="00A64035" w:rsidP="00557F1F">
      <w:pPr>
        <w:pStyle w:val="Nadpis2"/>
        <w:numPr>
          <w:ilvl w:val="1"/>
          <w:numId w:val="3"/>
        </w:numPr>
      </w:pPr>
      <w:r>
        <w:t>FOND OPRAV MAJETKU MĚSTA</w:t>
      </w:r>
    </w:p>
    <w:p w:rsidR="00A64035" w:rsidRPr="00DB1459" w:rsidRDefault="00A64035" w:rsidP="00A64035">
      <w:pPr>
        <w:autoSpaceDE w:val="0"/>
        <w:autoSpaceDN w:val="0"/>
        <w:adjustRightInd w:val="0"/>
        <w:rPr>
          <w:rFonts w:cs="Arial"/>
          <w:bCs/>
          <w:iCs/>
          <w:sz w:val="22"/>
          <w:szCs w:val="22"/>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Zdroj č. 3</w:t>
      </w:r>
      <w:r>
        <w:rPr>
          <w:rFonts w:cs="Arial"/>
          <w:bCs/>
          <w:iCs/>
          <w:sz w:val="22"/>
          <w:szCs w:val="22"/>
        </w:rPr>
        <w:t xml:space="preserve">: </w:t>
      </w:r>
      <w:r w:rsidRPr="00DB1459">
        <w:rPr>
          <w:rFonts w:cs="Arial"/>
          <w:bCs/>
          <w:iCs/>
          <w:sz w:val="22"/>
          <w:szCs w:val="22"/>
        </w:rPr>
        <w:t>Fond oprav majetku města – odpisy nemovitého majetku + příděl z rozpočtu zřizovatele</w:t>
      </w:r>
    </w:p>
    <w:p w:rsidR="00A64035" w:rsidRPr="008F65BB" w:rsidRDefault="00A64035" w:rsidP="00A64035">
      <w:pPr>
        <w:pStyle w:val="Normlnweb"/>
        <w:spacing w:before="0" w:beforeAutospacing="0" w:after="120" w:afterAutospacing="0"/>
        <w:jc w:val="both"/>
      </w:pPr>
      <w:r w:rsidRPr="008F65BB">
        <w:rPr>
          <w:bCs/>
          <w:iCs/>
        </w:rPr>
        <w:t xml:space="preserve">Fond oprav byl zřízen Zastupitelstvem města Chomutova na základě usnesení č. 209/03 ze dne </w:t>
      </w:r>
      <w:proofErr w:type="gramStart"/>
      <w:r w:rsidRPr="008F65BB">
        <w:rPr>
          <w:bCs/>
          <w:iCs/>
        </w:rPr>
        <w:t>15.12.2003</w:t>
      </w:r>
      <w:proofErr w:type="gramEnd"/>
      <w:r w:rsidRPr="008F65BB">
        <w:rPr>
          <w:bCs/>
          <w:iCs/>
        </w:rPr>
        <w:t xml:space="preserve">. </w:t>
      </w:r>
      <w:r w:rsidRPr="008F65BB">
        <w:t>Účelem Fondu oprav majetku města Chomutova  je zajištění a sdružení finančních prostředků za účelem financování oprav a údržby movitého a nemovitého majetku statutárního města Chomutova a majetku svěřeného do správy jeho vybraným organizacím. Organizacemi se rozumí městem zřízené příspěvkové organizace a založené obchodní organizace.</w:t>
      </w: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Zdroje fondu vytváří město dle potřeby na základě čl. II statutu fondu. Dalším zdrojem jsou odpisy nemovitého majetku města (objektů školských zařízení), které si město z důvodů, že velké opravy a údržba jsou financovány z fondu oprav majetku města, odvádí zpět do svého rozpočtu.</w:t>
      </w:r>
    </w:p>
    <w:p w:rsidR="00A64035" w:rsidRPr="00DB1459" w:rsidRDefault="00A64035" w:rsidP="00A64035">
      <w:pPr>
        <w:autoSpaceDE w:val="0"/>
        <w:autoSpaceDN w:val="0"/>
        <w:adjustRightInd w:val="0"/>
        <w:rPr>
          <w:rFonts w:cs="Arial"/>
          <w:bCs/>
          <w:iCs/>
          <w:sz w:val="22"/>
          <w:szCs w:val="22"/>
        </w:rPr>
      </w:pPr>
    </w:p>
    <w:p w:rsidR="00A64035" w:rsidRDefault="00A64035" w:rsidP="0075074A">
      <w:pPr>
        <w:pStyle w:val="Nadpis3"/>
      </w:pPr>
      <w:r w:rsidRPr="00DB1459">
        <w:t>Fond oprav</w:t>
      </w:r>
    </w:p>
    <w:p w:rsidR="00A64035" w:rsidRPr="008F65BB" w:rsidRDefault="00A64035" w:rsidP="00A64035">
      <w:pPr>
        <w:rPr>
          <w:lang w:eastAsia="x-none"/>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Pozitiva využití zdroje:</w:t>
      </w:r>
    </w:p>
    <w:p w:rsidR="00A64035" w:rsidRPr="00DB1459" w:rsidRDefault="00A64035" w:rsidP="00557F1F">
      <w:pPr>
        <w:pStyle w:val="Odstavecseseznamem"/>
        <w:numPr>
          <w:ilvl w:val="0"/>
          <w:numId w:val="30"/>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ravidelná tvorba finanč</w:t>
      </w:r>
      <w:r>
        <w:rPr>
          <w:rFonts w:ascii="Arial" w:hAnsi="Arial" w:cs="Arial"/>
          <w:sz w:val="22"/>
          <w:szCs w:val="22"/>
        </w:rPr>
        <w:t>ních zdrojů investiční činnosti,</w:t>
      </w:r>
    </w:p>
    <w:p w:rsidR="00A64035" w:rsidRPr="00DB1459" w:rsidRDefault="00A64035" w:rsidP="00557F1F">
      <w:pPr>
        <w:pStyle w:val="Odstavecseseznamem"/>
        <w:numPr>
          <w:ilvl w:val="0"/>
          <w:numId w:val="30"/>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ružné využívání zdrojů k ř</w:t>
      </w:r>
      <w:r>
        <w:rPr>
          <w:rFonts w:ascii="Arial" w:hAnsi="Arial" w:cs="Arial"/>
          <w:sz w:val="22"/>
          <w:szCs w:val="22"/>
        </w:rPr>
        <w:t>ešení aktuálních problémů školy,</w:t>
      </w:r>
    </w:p>
    <w:p w:rsidR="00A64035" w:rsidRPr="00DB1459" w:rsidRDefault="00A64035" w:rsidP="00557F1F">
      <w:pPr>
        <w:pStyle w:val="Odstavecseseznamem"/>
        <w:numPr>
          <w:ilvl w:val="0"/>
          <w:numId w:val="30"/>
        </w:numPr>
        <w:autoSpaceDE w:val="0"/>
        <w:autoSpaceDN w:val="0"/>
        <w:adjustRightInd w:val="0"/>
        <w:ind w:left="723"/>
        <w:contextualSpacing/>
        <w:rPr>
          <w:rFonts w:ascii="Arial" w:hAnsi="Arial" w:cs="Arial"/>
          <w:sz w:val="22"/>
          <w:szCs w:val="22"/>
        </w:rPr>
      </w:pPr>
      <w:r>
        <w:rPr>
          <w:rFonts w:ascii="Arial" w:hAnsi="Arial" w:cs="Arial"/>
          <w:sz w:val="22"/>
          <w:szCs w:val="22"/>
        </w:rPr>
        <w:t>r</w:t>
      </w:r>
      <w:r w:rsidRPr="00DB1459">
        <w:rPr>
          <w:rFonts w:ascii="Arial" w:hAnsi="Arial" w:cs="Arial"/>
          <w:sz w:val="22"/>
          <w:szCs w:val="22"/>
        </w:rPr>
        <w:t>ozhodnutí o využití je svěřeno zřizovateli (nezatížení ředitelů škol investiční činností)</w:t>
      </w:r>
      <w:r>
        <w:rPr>
          <w:rFonts w:ascii="Arial" w:hAnsi="Arial" w:cs="Arial"/>
          <w:sz w:val="22"/>
          <w:szCs w:val="22"/>
        </w:rPr>
        <w:t>,</w:t>
      </w:r>
    </w:p>
    <w:p w:rsidR="00A64035" w:rsidRPr="00DB1459" w:rsidRDefault="00A64035" w:rsidP="00557F1F">
      <w:pPr>
        <w:pStyle w:val="Odstavecseseznamem"/>
        <w:numPr>
          <w:ilvl w:val="0"/>
          <w:numId w:val="30"/>
        </w:numPr>
        <w:autoSpaceDE w:val="0"/>
        <w:autoSpaceDN w:val="0"/>
        <w:adjustRightInd w:val="0"/>
        <w:ind w:left="723"/>
        <w:contextualSpacing/>
        <w:rPr>
          <w:rFonts w:ascii="Arial" w:hAnsi="Arial" w:cs="Arial"/>
          <w:sz w:val="22"/>
          <w:szCs w:val="22"/>
        </w:rPr>
      </w:pPr>
      <w:r>
        <w:rPr>
          <w:rFonts w:ascii="Arial" w:hAnsi="Arial" w:cs="Arial"/>
          <w:sz w:val="22"/>
          <w:szCs w:val="22"/>
        </w:rPr>
        <w:t>v</w:t>
      </w:r>
      <w:r w:rsidRPr="00DB1459">
        <w:rPr>
          <w:rFonts w:ascii="Arial" w:hAnsi="Arial" w:cs="Arial"/>
          <w:sz w:val="22"/>
          <w:szCs w:val="22"/>
        </w:rPr>
        <w:t>ytvoření rezervy na havárie a nezbytně nutné výdaje</w:t>
      </w:r>
      <w:r>
        <w:rPr>
          <w:rFonts w:ascii="Arial" w:hAnsi="Arial" w:cs="Arial"/>
          <w:sz w:val="22"/>
          <w:szCs w:val="22"/>
        </w:rPr>
        <w:t>,</w:t>
      </w:r>
    </w:p>
    <w:p w:rsidR="00A64035" w:rsidRPr="00DB1459" w:rsidRDefault="00A64035" w:rsidP="00557F1F">
      <w:pPr>
        <w:pStyle w:val="Odstavecseseznamem"/>
        <w:numPr>
          <w:ilvl w:val="0"/>
          <w:numId w:val="30"/>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 xml:space="preserve">ostupná </w:t>
      </w:r>
      <w:r>
        <w:rPr>
          <w:rFonts w:ascii="Arial" w:hAnsi="Arial" w:cs="Arial"/>
          <w:sz w:val="22"/>
          <w:szCs w:val="22"/>
        </w:rPr>
        <w:t>obnova všech školských zařízení,</w:t>
      </w:r>
    </w:p>
    <w:p w:rsidR="00A64035" w:rsidRPr="00DB1459" w:rsidRDefault="00A64035" w:rsidP="00557F1F">
      <w:pPr>
        <w:pStyle w:val="Odstavecseseznamem"/>
        <w:numPr>
          <w:ilvl w:val="0"/>
          <w:numId w:val="30"/>
        </w:numPr>
        <w:autoSpaceDE w:val="0"/>
        <w:autoSpaceDN w:val="0"/>
        <w:adjustRightInd w:val="0"/>
        <w:ind w:left="723"/>
        <w:contextualSpacing/>
        <w:rPr>
          <w:rFonts w:ascii="Arial" w:hAnsi="Arial" w:cs="Arial"/>
          <w:sz w:val="22"/>
          <w:szCs w:val="22"/>
        </w:rPr>
      </w:pPr>
      <w:r>
        <w:rPr>
          <w:rFonts w:ascii="Arial" w:hAnsi="Arial" w:cs="Arial"/>
          <w:sz w:val="22"/>
          <w:szCs w:val="22"/>
        </w:rPr>
        <w:t>v</w:t>
      </w:r>
      <w:r w:rsidRPr="00DB1459">
        <w:rPr>
          <w:rFonts w:ascii="Arial" w:hAnsi="Arial" w:cs="Arial"/>
          <w:sz w:val="22"/>
          <w:szCs w:val="22"/>
        </w:rPr>
        <w:t xml:space="preserve">yužití uvedeného zdroje je vhodné pro větší </w:t>
      </w:r>
      <w:r>
        <w:rPr>
          <w:rFonts w:ascii="Arial" w:hAnsi="Arial" w:cs="Arial"/>
          <w:sz w:val="22"/>
          <w:szCs w:val="22"/>
        </w:rPr>
        <w:t>investice v oblasti obnovy škol.</w:t>
      </w:r>
    </w:p>
    <w:p w:rsidR="00A64035" w:rsidRPr="00DB1459" w:rsidRDefault="00A64035" w:rsidP="00A64035">
      <w:pPr>
        <w:autoSpaceDE w:val="0"/>
        <w:autoSpaceDN w:val="0"/>
        <w:adjustRightInd w:val="0"/>
        <w:rPr>
          <w:rFonts w:cs="Arial"/>
          <w:bCs/>
          <w:iCs/>
          <w:sz w:val="22"/>
          <w:szCs w:val="22"/>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Negativa využití zdroje:</w:t>
      </w:r>
    </w:p>
    <w:p w:rsidR="00A64035" w:rsidRPr="00DB1459" w:rsidRDefault="00A64035" w:rsidP="00557F1F">
      <w:pPr>
        <w:pStyle w:val="Odstavecseseznamem"/>
        <w:numPr>
          <w:ilvl w:val="0"/>
          <w:numId w:val="31"/>
        </w:numPr>
        <w:autoSpaceDE w:val="0"/>
        <w:autoSpaceDN w:val="0"/>
        <w:adjustRightInd w:val="0"/>
        <w:ind w:left="723"/>
        <w:contextualSpacing/>
        <w:rPr>
          <w:rFonts w:ascii="Arial" w:hAnsi="Arial" w:cs="Arial"/>
          <w:sz w:val="22"/>
          <w:szCs w:val="22"/>
        </w:rPr>
      </w:pPr>
      <w:r>
        <w:rPr>
          <w:rFonts w:ascii="Arial" w:hAnsi="Arial" w:cs="Arial"/>
          <w:sz w:val="22"/>
          <w:szCs w:val="22"/>
        </w:rPr>
        <w:t>n</w:t>
      </w:r>
      <w:r w:rsidRPr="00DB1459">
        <w:rPr>
          <w:rFonts w:ascii="Arial" w:hAnsi="Arial" w:cs="Arial"/>
          <w:sz w:val="22"/>
          <w:szCs w:val="22"/>
        </w:rPr>
        <w:t>esoulad in</w:t>
      </w:r>
      <w:r>
        <w:rPr>
          <w:rFonts w:ascii="Arial" w:hAnsi="Arial" w:cs="Arial"/>
          <w:sz w:val="22"/>
          <w:szCs w:val="22"/>
        </w:rPr>
        <w:t>vestičních potřeb s výší zdroje,</w:t>
      </w:r>
    </w:p>
    <w:p w:rsidR="00A64035" w:rsidRPr="00DB1459" w:rsidRDefault="00A64035" w:rsidP="00557F1F">
      <w:pPr>
        <w:pStyle w:val="Odstavecseseznamem"/>
        <w:numPr>
          <w:ilvl w:val="0"/>
          <w:numId w:val="31"/>
        </w:numPr>
        <w:autoSpaceDE w:val="0"/>
        <w:autoSpaceDN w:val="0"/>
        <w:adjustRightInd w:val="0"/>
        <w:ind w:left="723"/>
        <w:contextualSpacing/>
        <w:rPr>
          <w:rFonts w:ascii="Arial" w:hAnsi="Arial" w:cs="Arial"/>
          <w:bCs/>
          <w:iCs/>
          <w:sz w:val="22"/>
          <w:szCs w:val="22"/>
        </w:rPr>
      </w:pPr>
      <w:r>
        <w:rPr>
          <w:rFonts w:ascii="Arial" w:hAnsi="Arial" w:cs="Arial"/>
          <w:sz w:val="22"/>
          <w:szCs w:val="22"/>
        </w:rPr>
        <w:t>v</w:t>
      </w:r>
      <w:r w:rsidRPr="00DB1459">
        <w:rPr>
          <w:rFonts w:ascii="Arial" w:hAnsi="Arial" w:cs="Arial"/>
          <w:sz w:val="22"/>
          <w:szCs w:val="22"/>
        </w:rPr>
        <w:t xml:space="preserve">ětší investice do zařízení není jednorázově možné pokrýt z prostředků </w:t>
      </w:r>
      <w:proofErr w:type="gramStart"/>
      <w:r w:rsidRPr="00DB1459">
        <w:rPr>
          <w:rFonts w:ascii="Arial" w:hAnsi="Arial" w:cs="Arial"/>
          <w:sz w:val="22"/>
          <w:szCs w:val="22"/>
        </w:rPr>
        <w:t xml:space="preserve">fondu </w:t>
      </w:r>
      <w:r>
        <w:rPr>
          <w:rFonts w:ascii="Arial" w:hAnsi="Arial" w:cs="Arial"/>
          <w:sz w:val="22"/>
          <w:szCs w:val="22"/>
        </w:rPr>
        <w:t>.</w:t>
      </w:r>
      <w:proofErr w:type="gramEnd"/>
    </w:p>
    <w:p w:rsidR="00A64035" w:rsidRPr="00DB1459" w:rsidRDefault="00A64035" w:rsidP="00A64035">
      <w:pPr>
        <w:autoSpaceDE w:val="0"/>
        <w:autoSpaceDN w:val="0"/>
        <w:adjustRightInd w:val="0"/>
        <w:rPr>
          <w:rFonts w:cs="Arial"/>
          <w:bCs/>
          <w:iCs/>
          <w:sz w:val="22"/>
          <w:szCs w:val="22"/>
        </w:rPr>
      </w:pPr>
    </w:p>
    <w:p w:rsidR="00A64035" w:rsidRPr="00DB1459" w:rsidRDefault="00A64035" w:rsidP="00A64035">
      <w:pPr>
        <w:autoSpaceDE w:val="0"/>
        <w:autoSpaceDN w:val="0"/>
        <w:adjustRightInd w:val="0"/>
        <w:rPr>
          <w:rFonts w:cs="Arial"/>
          <w:sz w:val="22"/>
          <w:szCs w:val="22"/>
        </w:rPr>
      </w:pPr>
      <w:r>
        <w:rPr>
          <w:rFonts w:cs="Arial"/>
          <w:sz w:val="22"/>
          <w:szCs w:val="22"/>
        </w:rPr>
        <w:t>Dopad na rozpočet města:</w:t>
      </w:r>
    </w:p>
    <w:p w:rsidR="00A64035" w:rsidRPr="00DB1459" w:rsidRDefault="00A64035" w:rsidP="00A64035">
      <w:pPr>
        <w:autoSpaceDE w:val="0"/>
        <w:autoSpaceDN w:val="0"/>
        <w:adjustRightInd w:val="0"/>
        <w:rPr>
          <w:rFonts w:cs="Arial"/>
          <w:bCs/>
          <w:sz w:val="22"/>
          <w:szCs w:val="22"/>
        </w:rPr>
      </w:pPr>
      <w:r w:rsidRPr="00DB1459">
        <w:rPr>
          <w:rFonts w:cs="Arial"/>
          <w:sz w:val="22"/>
          <w:szCs w:val="22"/>
        </w:rPr>
        <w:t>Ve výši 11</w:t>
      </w:r>
      <w:r w:rsidRPr="00DB1459">
        <w:rPr>
          <w:rFonts w:cs="Arial"/>
          <w:bCs/>
          <w:sz w:val="22"/>
          <w:szCs w:val="22"/>
        </w:rPr>
        <w:t>.000.000,- K</w:t>
      </w:r>
      <w:r w:rsidRPr="00DB1459">
        <w:rPr>
          <w:rFonts w:cs="Arial"/>
          <w:sz w:val="22"/>
          <w:szCs w:val="22"/>
        </w:rPr>
        <w:t xml:space="preserve">č </w:t>
      </w:r>
      <w:r w:rsidRPr="00DB1459">
        <w:rPr>
          <w:rFonts w:cs="Arial"/>
          <w:bCs/>
          <w:sz w:val="22"/>
          <w:szCs w:val="22"/>
        </w:rPr>
        <w:t>až 15.000.000,- K</w:t>
      </w:r>
      <w:r w:rsidRPr="00DB1459">
        <w:rPr>
          <w:rFonts w:cs="Arial"/>
          <w:sz w:val="22"/>
          <w:szCs w:val="22"/>
        </w:rPr>
        <w:t>č. Zastupitelstvo může rozhodnout o změně výše objemu fondu oprav.</w:t>
      </w:r>
    </w:p>
    <w:p w:rsidR="00A64035" w:rsidRPr="00DB1459" w:rsidRDefault="00A64035" w:rsidP="00A64035">
      <w:pPr>
        <w:autoSpaceDE w:val="0"/>
        <w:autoSpaceDN w:val="0"/>
        <w:adjustRightInd w:val="0"/>
        <w:rPr>
          <w:rFonts w:cs="Arial"/>
          <w:bCs/>
          <w:iCs/>
          <w:sz w:val="22"/>
          <w:szCs w:val="22"/>
        </w:rPr>
      </w:pPr>
    </w:p>
    <w:p w:rsidR="00A64035" w:rsidRDefault="00A64035" w:rsidP="0075074A">
      <w:pPr>
        <w:pStyle w:val="Nadpis3"/>
      </w:pPr>
      <w:r w:rsidRPr="00DB1459">
        <w:t>Odpisy nemovitého majetku</w:t>
      </w:r>
    </w:p>
    <w:p w:rsidR="00A64035" w:rsidRPr="008F65BB" w:rsidRDefault="00A64035" w:rsidP="00A64035">
      <w:pPr>
        <w:rPr>
          <w:lang w:eastAsia="x-none"/>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Odpisy nemovitého majetku jsou odváděny do rozpočtu zřizovatele. /Důvodem je skutečnost, že opravy jsou prováděny centrálně z Fondu oprav majetku města/</w:t>
      </w:r>
    </w:p>
    <w:p w:rsidR="00A64035" w:rsidRPr="00DB1459" w:rsidRDefault="00A64035" w:rsidP="00A64035">
      <w:pPr>
        <w:autoSpaceDE w:val="0"/>
        <w:autoSpaceDN w:val="0"/>
        <w:adjustRightInd w:val="0"/>
        <w:rPr>
          <w:rFonts w:cs="Arial"/>
          <w:bCs/>
          <w:iCs/>
          <w:sz w:val="22"/>
          <w:szCs w:val="22"/>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Pozitiva využití zdroje:</w:t>
      </w:r>
    </w:p>
    <w:p w:rsidR="00A64035" w:rsidRPr="00DB1459" w:rsidRDefault="00A64035" w:rsidP="00557F1F">
      <w:pPr>
        <w:pStyle w:val="Odstavecseseznamem"/>
        <w:numPr>
          <w:ilvl w:val="0"/>
          <w:numId w:val="32"/>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ravidelná tvorba finanč</w:t>
      </w:r>
      <w:r>
        <w:rPr>
          <w:rFonts w:ascii="Arial" w:hAnsi="Arial" w:cs="Arial"/>
          <w:sz w:val="22"/>
          <w:szCs w:val="22"/>
        </w:rPr>
        <w:t>ních zdrojů investiční činnosti,</w:t>
      </w:r>
    </w:p>
    <w:p w:rsidR="00A64035" w:rsidRPr="00DB1459" w:rsidRDefault="00A64035" w:rsidP="00557F1F">
      <w:pPr>
        <w:pStyle w:val="Odstavecseseznamem"/>
        <w:numPr>
          <w:ilvl w:val="0"/>
          <w:numId w:val="32"/>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ružné využívání zdrojů k ř</w:t>
      </w:r>
      <w:r>
        <w:rPr>
          <w:rFonts w:ascii="Arial" w:hAnsi="Arial" w:cs="Arial"/>
          <w:sz w:val="22"/>
          <w:szCs w:val="22"/>
        </w:rPr>
        <w:t>ešení aktuálních problémů školy,</w:t>
      </w:r>
    </w:p>
    <w:p w:rsidR="00A64035" w:rsidRDefault="00A64035" w:rsidP="00557F1F">
      <w:pPr>
        <w:pStyle w:val="Odstavecseseznamem"/>
        <w:numPr>
          <w:ilvl w:val="0"/>
          <w:numId w:val="32"/>
        </w:numPr>
        <w:autoSpaceDE w:val="0"/>
        <w:autoSpaceDN w:val="0"/>
        <w:adjustRightInd w:val="0"/>
        <w:ind w:left="723"/>
        <w:contextualSpacing/>
        <w:rPr>
          <w:rFonts w:ascii="Arial" w:hAnsi="Arial" w:cs="Arial"/>
          <w:sz w:val="22"/>
          <w:szCs w:val="22"/>
        </w:rPr>
      </w:pPr>
      <w:r>
        <w:rPr>
          <w:rFonts w:ascii="Arial" w:hAnsi="Arial" w:cs="Arial"/>
          <w:sz w:val="22"/>
          <w:szCs w:val="22"/>
        </w:rPr>
        <w:t>k</w:t>
      </w:r>
      <w:r w:rsidRPr="00DB1459">
        <w:rPr>
          <w:rFonts w:ascii="Arial" w:hAnsi="Arial" w:cs="Arial"/>
          <w:sz w:val="22"/>
          <w:szCs w:val="22"/>
        </w:rPr>
        <w:t>umulace prostředků u zřizovatele, který může rozhodnout o jejich využití</w:t>
      </w:r>
      <w:r>
        <w:rPr>
          <w:rFonts w:ascii="Arial" w:hAnsi="Arial" w:cs="Arial"/>
          <w:sz w:val="22"/>
          <w:szCs w:val="22"/>
        </w:rPr>
        <w:t>.</w:t>
      </w:r>
    </w:p>
    <w:p w:rsidR="00A64035" w:rsidRDefault="00A64035" w:rsidP="00A64035">
      <w:pPr>
        <w:pStyle w:val="Odstavecseseznamem"/>
        <w:autoSpaceDE w:val="0"/>
        <w:autoSpaceDN w:val="0"/>
        <w:adjustRightInd w:val="0"/>
        <w:ind w:left="1080"/>
        <w:contextualSpacing/>
        <w:rPr>
          <w:rFonts w:ascii="Arial" w:hAnsi="Arial" w:cs="Arial"/>
          <w:sz w:val="22"/>
          <w:szCs w:val="22"/>
        </w:rPr>
      </w:pPr>
    </w:p>
    <w:p w:rsidR="00012AD9" w:rsidRPr="00DB1459" w:rsidRDefault="00012AD9" w:rsidP="00A64035">
      <w:pPr>
        <w:pStyle w:val="Odstavecseseznamem"/>
        <w:autoSpaceDE w:val="0"/>
        <w:autoSpaceDN w:val="0"/>
        <w:adjustRightInd w:val="0"/>
        <w:ind w:left="1080"/>
        <w:contextualSpacing/>
        <w:rPr>
          <w:rFonts w:ascii="Arial" w:hAnsi="Arial" w:cs="Arial"/>
          <w:sz w:val="22"/>
          <w:szCs w:val="22"/>
        </w:rPr>
      </w:pPr>
    </w:p>
    <w:p w:rsidR="00A64035" w:rsidRPr="00DB1459" w:rsidRDefault="00A64035" w:rsidP="00A64035">
      <w:pPr>
        <w:pStyle w:val="Odstavecseseznamem"/>
        <w:autoSpaceDE w:val="0"/>
        <w:autoSpaceDN w:val="0"/>
        <w:adjustRightInd w:val="0"/>
        <w:ind w:left="1080"/>
        <w:rPr>
          <w:rFonts w:ascii="Arial" w:hAnsi="Arial" w:cs="Arial"/>
          <w:sz w:val="22"/>
          <w:szCs w:val="22"/>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lastRenderedPageBreak/>
        <w:t>Negativa využití zdroje:</w:t>
      </w:r>
    </w:p>
    <w:p w:rsidR="00A64035" w:rsidRPr="00DB1459" w:rsidRDefault="00A64035" w:rsidP="00557F1F">
      <w:pPr>
        <w:pStyle w:val="Odstavecseseznamem"/>
        <w:numPr>
          <w:ilvl w:val="0"/>
          <w:numId w:val="33"/>
        </w:numPr>
        <w:autoSpaceDE w:val="0"/>
        <w:autoSpaceDN w:val="0"/>
        <w:adjustRightInd w:val="0"/>
        <w:ind w:left="723"/>
        <w:contextualSpacing/>
        <w:rPr>
          <w:rFonts w:ascii="Arial" w:hAnsi="Arial" w:cs="Arial"/>
          <w:sz w:val="22"/>
          <w:szCs w:val="22"/>
        </w:rPr>
      </w:pPr>
      <w:r>
        <w:rPr>
          <w:rFonts w:ascii="Arial" w:hAnsi="Arial" w:cs="Arial"/>
          <w:sz w:val="22"/>
          <w:szCs w:val="22"/>
        </w:rPr>
        <w:t>n</w:t>
      </w:r>
      <w:r w:rsidRPr="00DB1459">
        <w:rPr>
          <w:rFonts w:ascii="Arial" w:hAnsi="Arial" w:cs="Arial"/>
          <w:sz w:val="22"/>
          <w:szCs w:val="22"/>
        </w:rPr>
        <w:t>esoulad investičních potřeb s výší zdroje (starší budova bez průběžného zhodnocování má nižší pořizovací cenu a tím i nižší odpis, in</w:t>
      </w:r>
      <w:r>
        <w:rPr>
          <w:rFonts w:ascii="Arial" w:hAnsi="Arial" w:cs="Arial"/>
          <w:sz w:val="22"/>
          <w:szCs w:val="22"/>
        </w:rPr>
        <w:t>vestiční nároky jsou ale vyšší),</w:t>
      </w:r>
    </w:p>
    <w:p w:rsidR="00A64035" w:rsidRPr="00DB1459" w:rsidRDefault="00A64035" w:rsidP="00557F1F">
      <w:pPr>
        <w:pStyle w:val="Odstavecseseznamem"/>
        <w:numPr>
          <w:ilvl w:val="0"/>
          <w:numId w:val="33"/>
        </w:numPr>
        <w:autoSpaceDE w:val="0"/>
        <w:autoSpaceDN w:val="0"/>
        <w:adjustRightInd w:val="0"/>
        <w:ind w:left="723"/>
        <w:contextualSpacing/>
        <w:rPr>
          <w:rFonts w:ascii="Arial" w:hAnsi="Arial" w:cs="Arial"/>
          <w:sz w:val="22"/>
          <w:szCs w:val="22"/>
        </w:rPr>
      </w:pPr>
      <w:r>
        <w:rPr>
          <w:rFonts w:ascii="Arial" w:hAnsi="Arial" w:cs="Arial"/>
          <w:sz w:val="22"/>
          <w:szCs w:val="22"/>
        </w:rPr>
        <w:t>v</w:t>
      </w:r>
      <w:r w:rsidRPr="00DB1459">
        <w:rPr>
          <w:rFonts w:ascii="Arial" w:hAnsi="Arial" w:cs="Arial"/>
          <w:sz w:val="22"/>
          <w:szCs w:val="22"/>
        </w:rPr>
        <w:t>ětší investice do zařízení není možné pokrýt z odpisů (dlouhodobé „šetření“ zdrojů).</w:t>
      </w:r>
    </w:p>
    <w:p w:rsidR="00A64035" w:rsidRPr="00DB1459" w:rsidRDefault="00A64035" w:rsidP="00A64035">
      <w:pPr>
        <w:autoSpaceDE w:val="0"/>
        <w:autoSpaceDN w:val="0"/>
        <w:adjustRightInd w:val="0"/>
        <w:rPr>
          <w:rFonts w:cs="Arial"/>
          <w:sz w:val="22"/>
          <w:szCs w:val="22"/>
        </w:rPr>
      </w:pPr>
    </w:p>
    <w:p w:rsidR="00A64035" w:rsidRPr="00DB1459" w:rsidRDefault="00A64035" w:rsidP="00A64035">
      <w:pPr>
        <w:autoSpaceDE w:val="0"/>
        <w:autoSpaceDN w:val="0"/>
        <w:adjustRightInd w:val="0"/>
        <w:rPr>
          <w:rFonts w:cs="Arial"/>
          <w:sz w:val="22"/>
          <w:szCs w:val="22"/>
        </w:rPr>
      </w:pPr>
      <w:r>
        <w:rPr>
          <w:rFonts w:cs="Arial"/>
          <w:sz w:val="22"/>
          <w:szCs w:val="22"/>
        </w:rPr>
        <w:t>Dopad na rozpočet města:</w:t>
      </w:r>
    </w:p>
    <w:p w:rsidR="00A64035" w:rsidRDefault="00A64035" w:rsidP="00A64035">
      <w:pPr>
        <w:autoSpaceDE w:val="0"/>
        <w:autoSpaceDN w:val="0"/>
        <w:adjustRightInd w:val="0"/>
        <w:rPr>
          <w:rFonts w:cs="Arial"/>
          <w:sz w:val="22"/>
          <w:szCs w:val="22"/>
        </w:rPr>
      </w:pPr>
      <w:r w:rsidRPr="00DB1459">
        <w:rPr>
          <w:rFonts w:cs="Arial"/>
          <w:sz w:val="22"/>
          <w:szCs w:val="22"/>
        </w:rPr>
        <w:t>Dle odpisového plánu (v roce 2012 3.925.000,- Kč</w:t>
      </w:r>
      <w:r>
        <w:rPr>
          <w:rFonts w:cs="Arial"/>
          <w:sz w:val="22"/>
          <w:szCs w:val="22"/>
        </w:rPr>
        <w:t xml:space="preserve">) </w:t>
      </w:r>
      <w:r w:rsidRPr="00DB1459">
        <w:rPr>
          <w:rFonts w:cs="Arial"/>
          <w:sz w:val="22"/>
          <w:szCs w:val="22"/>
        </w:rPr>
        <w:t>a zvolené doby odepisování (budou zohledněna zhodnocení budov). O způsobu a oblasti využití prostředků rozhoduje zřizovatel.</w:t>
      </w:r>
    </w:p>
    <w:p w:rsidR="00A64035" w:rsidRDefault="00A64035" w:rsidP="00A64035">
      <w:pPr>
        <w:autoSpaceDE w:val="0"/>
        <w:autoSpaceDN w:val="0"/>
        <w:adjustRightInd w:val="0"/>
        <w:rPr>
          <w:rFonts w:cs="Arial"/>
          <w:sz w:val="22"/>
          <w:szCs w:val="22"/>
        </w:rPr>
      </w:pPr>
    </w:p>
    <w:p w:rsidR="00A64035" w:rsidRDefault="00A64035" w:rsidP="00557F1F">
      <w:pPr>
        <w:pStyle w:val="Nadpis2"/>
        <w:numPr>
          <w:ilvl w:val="1"/>
          <w:numId w:val="3"/>
        </w:numPr>
      </w:pPr>
      <w:r>
        <w:t>FINANČNÍ PROSTŘEDKY Z DOTAČNÍCH TITULŮ SR, EU, DARY, GRANTY</w:t>
      </w:r>
    </w:p>
    <w:p w:rsidR="00A64035" w:rsidRDefault="00A64035" w:rsidP="00A64035"/>
    <w:p w:rsidR="00A64035" w:rsidRPr="00DB1459" w:rsidRDefault="00A64035" w:rsidP="00A64035">
      <w:pPr>
        <w:autoSpaceDE w:val="0"/>
        <w:autoSpaceDN w:val="0"/>
        <w:adjustRightInd w:val="0"/>
        <w:rPr>
          <w:rFonts w:cs="Arial"/>
          <w:sz w:val="22"/>
          <w:szCs w:val="22"/>
        </w:rPr>
      </w:pPr>
      <w:r w:rsidRPr="00DB1459">
        <w:rPr>
          <w:rFonts w:cs="Arial"/>
          <w:sz w:val="22"/>
          <w:szCs w:val="22"/>
        </w:rPr>
        <w:t>Nadále se počítá s maximálním využitím možností získávání dotací ze státního rozpočtu, případně dotací z fondů EU. Město se aktivně podílí na přípravě podkladů pro žádosti o čerpání dotací z národních i evropských zdrojů (zejm. příprava technických projektových dokumentací, zpracování žádostí, studií proveditelnosti atd.), jak v oblasti reprodukce investičního majetku, tak v oblasti měkkých neinvestičních projektů.</w:t>
      </w:r>
    </w:p>
    <w:p w:rsidR="00A64035" w:rsidRPr="00DB1459" w:rsidRDefault="00A64035" w:rsidP="00A64035">
      <w:pPr>
        <w:autoSpaceDE w:val="0"/>
        <w:autoSpaceDN w:val="0"/>
        <w:adjustRightInd w:val="0"/>
        <w:rPr>
          <w:rFonts w:cs="Arial"/>
          <w:bCs/>
          <w:iCs/>
          <w:sz w:val="22"/>
          <w:szCs w:val="22"/>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Pozitiva využití zdroje:</w:t>
      </w:r>
    </w:p>
    <w:p w:rsidR="00A64035" w:rsidRPr="00DB1459" w:rsidRDefault="00A64035" w:rsidP="00557F1F">
      <w:pPr>
        <w:pStyle w:val="Odstavecseseznamem"/>
        <w:numPr>
          <w:ilvl w:val="0"/>
          <w:numId w:val="34"/>
        </w:numPr>
        <w:autoSpaceDE w:val="0"/>
        <w:autoSpaceDN w:val="0"/>
        <w:adjustRightInd w:val="0"/>
        <w:ind w:left="723"/>
        <w:contextualSpacing/>
        <w:rPr>
          <w:rFonts w:ascii="Arial" w:hAnsi="Arial" w:cs="Arial"/>
          <w:sz w:val="22"/>
          <w:szCs w:val="22"/>
        </w:rPr>
      </w:pPr>
      <w:r>
        <w:rPr>
          <w:rFonts w:ascii="Arial" w:hAnsi="Arial" w:cs="Arial"/>
          <w:sz w:val="22"/>
          <w:szCs w:val="22"/>
        </w:rPr>
        <w:t>m</w:t>
      </w:r>
      <w:r w:rsidRPr="00DB1459">
        <w:rPr>
          <w:rFonts w:ascii="Arial" w:hAnsi="Arial" w:cs="Arial"/>
          <w:sz w:val="22"/>
          <w:szCs w:val="22"/>
        </w:rPr>
        <w:t>ožnosti získání nemalých finanč</w:t>
      </w:r>
      <w:r>
        <w:rPr>
          <w:rFonts w:ascii="Arial" w:hAnsi="Arial" w:cs="Arial"/>
          <w:sz w:val="22"/>
          <w:szCs w:val="22"/>
        </w:rPr>
        <w:t>ních prostředků z cizích zdrojů,</w:t>
      </w:r>
    </w:p>
    <w:p w:rsidR="00A64035" w:rsidRPr="00DB1459" w:rsidRDefault="00A64035" w:rsidP="00557F1F">
      <w:pPr>
        <w:pStyle w:val="Odstavecseseznamem"/>
        <w:numPr>
          <w:ilvl w:val="0"/>
          <w:numId w:val="34"/>
        </w:numPr>
        <w:autoSpaceDE w:val="0"/>
        <w:autoSpaceDN w:val="0"/>
        <w:adjustRightInd w:val="0"/>
        <w:ind w:left="723"/>
        <w:contextualSpacing/>
        <w:rPr>
          <w:rFonts w:ascii="Arial" w:hAnsi="Arial" w:cs="Arial"/>
          <w:sz w:val="22"/>
          <w:szCs w:val="22"/>
        </w:rPr>
      </w:pPr>
      <w:r>
        <w:rPr>
          <w:rFonts w:ascii="Arial" w:hAnsi="Arial" w:cs="Arial"/>
          <w:sz w:val="22"/>
          <w:szCs w:val="22"/>
        </w:rPr>
        <w:t>m</w:t>
      </w:r>
      <w:r w:rsidRPr="00DB1459">
        <w:rPr>
          <w:rFonts w:ascii="Arial" w:hAnsi="Arial" w:cs="Arial"/>
          <w:sz w:val="22"/>
          <w:szCs w:val="22"/>
        </w:rPr>
        <w:t xml:space="preserve">ožnost </w:t>
      </w:r>
      <w:proofErr w:type="spellStart"/>
      <w:r w:rsidRPr="00DB1459">
        <w:rPr>
          <w:rFonts w:ascii="Arial" w:hAnsi="Arial" w:cs="Arial"/>
          <w:sz w:val="22"/>
          <w:szCs w:val="22"/>
        </w:rPr>
        <w:t>zafinancování</w:t>
      </w:r>
      <w:proofErr w:type="spellEnd"/>
      <w:r w:rsidRPr="00DB1459">
        <w:rPr>
          <w:rFonts w:ascii="Arial" w:hAnsi="Arial" w:cs="Arial"/>
          <w:sz w:val="22"/>
          <w:szCs w:val="22"/>
        </w:rPr>
        <w:t xml:space="preserve"> generálních rekonstrukcí budov – investice většího rozsahu</w:t>
      </w:r>
      <w:r>
        <w:rPr>
          <w:rFonts w:ascii="Arial" w:hAnsi="Arial" w:cs="Arial"/>
          <w:sz w:val="22"/>
          <w:szCs w:val="22"/>
        </w:rPr>
        <w:t>,</w:t>
      </w:r>
    </w:p>
    <w:p w:rsidR="00A64035" w:rsidRPr="00DB1459" w:rsidRDefault="00A64035" w:rsidP="00557F1F">
      <w:pPr>
        <w:pStyle w:val="Odstavecseseznamem"/>
        <w:numPr>
          <w:ilvl w:val="0"/>
          <w:numId w:val="34"/>
        </w:numPr>
        <w:autoSpaceDE w:val="0"/>
        <w:autoSpaceDN w:val="0"/>
        <w:adjustRightInd w:val="0"/>
        <w:ind w:left="723"/>
        <w:contextualSpacing/>
        <w:rPr>
          <w:rFonts w:ascii="Arial" w:hAnsi="Arial" w:cs="Arial"/>
          <w:sz w:val="22"/>
          <w:szCs w:val="22"/>
        </w:rPr>
      </w:pPr>
      <w:r>
        <w:rPr>
          <w:rFonts w:ascii="Arial" w:hAnsi="Arial" w:cs="Arial"/>
          <w:sz w:val="22"/>
          <w:szCs w:val="22"/>
        </w:rPr>
        <w:t>i</w:t>
      </w:r>
      <w:r w:rsidRPr="00DB1459">
        <w:rPr>
          <w:rFonts w:ascii="Arial" w:hAnsi="Arial" w:cs="Arial"/>
          <w:sz w:val="22"/>
          <w:szCs w:val="22"/>
        </w:rPr>
        <w:t>ntenzívní revitalizace školských zařízení přinese rychlejší úsporu nákladů na p</w:t>
      </w:r>
      <w:r>
        <w:rPr>
          <w:rFonts w:ascii="Arial" w:hAnsi="Arial" w:cs="Arial"/>
          <w:sz w:val="22"/>
          <w:szCs w:val="22"/>
        </w:rPr>
        <w:t>rovoz škol (energetické úspory),</w:t>
      </w:r>
    </w:p>
    <w:p w:rsidR="00A64035" w:rsidRPr="00DB1459" w:rsidRDefault="00A64035" w:rsidP="00557F1F">
      <w:pPr>
        <w:pStyle w:val="Odstavecseseznamem"/>
        <w:numPr>
          <w:ilvl w:val="0"/>
          <w:numId w:val="34"/>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rioritou zůstává zaměření se i na měkké projekty</w:t>
      </w:r>
      <w:r>
        <w:rPr>
          <w:rFonts w:ascii="Arial" w:hAnsi="Arial" w:cs="Arial"/>
          <w:sz w:val="22"/>
          <w:szCs w:val="22"/>
        </w:rPr>
        <w:t>.</w:t>
      </w:r>
    </w:p>
    <w:p w:rsidR="00A64035" w:rsidRPr="00DB1459" w:rsidRDefault="00A64035" w:rsidP="00A64035">
      <w:pPr>
        <w:autoSpaceDE w:val="0"/>
        <w:autoSpaceDN w:val="0"/>
        <w:adjustRightInd w:val="0"/>
        <w:rPr>
          <w:rFonts w:cs="Arial"/>
          <w:bCs/>
          <w:iCs/>
          <w:sz w:val="22"/>
          <w:szCs w:val="22"/>
        </w:rPr>
      </w:pPr>
    </w:p>
    <w:p w:rsidR="00A64035" w:rsidRPr="00DB1459" w:rsidRDefault="00A64035" w:rsidP="00A64035">
      <w:pPr>
        <w:autoSpaceDE w:val="0"/>
        <w:autoSpaceDN w:val="0"/>
        <w:adjustRightInd w:val="0"/>
        <w:rPr>
          <w:rFonts w:cs="Arial"/>
          <w:bCs/>
          <w:iCs/>
          <w:sz w:val="22"/>
          <w:szCs w:val="22"/>
        </w:rPr>
      </w:pPr>
      <w:r w:rsidRPr="00DB1459">
        <w:rPr>
          <w:rFonts w:cs="Arial"/>
          <w:bCs/>
          <w:iCs/>
          <w:sz w:val="22"/>
          <w:szCs w:val="22"/>
        </w:rPr>
        <w:t>Negativa využití zdroje:</w:t>
      </w:r>
    </w:p>
    <w:p w:rsidR="00A64035" w:rsidRPr="00DB1459" w:rsidRDefault="00A64035" w:rsidP="00557F1F">
      <w:pPr>
        <w:pStyle w:val="Odstavecseseznamem"/>
        <w:numPr>
          <w:ilvl w:val="0"/>
          <w:numId w:val="35"/>
        </w:numPr>
        <w:autoSpaceDE w:val="0"/>
        <w:autoSpaceDN w:val="0"/>
        <w:adjustRightInd w:val="0"/>
        <w:ind w:left="723"/>
        <w:contextualSpacing/>
        <w:rPr>
          <w:rFonts w:ascii="Arial" w:hAnsi="Arial" w:cs="Arial"/>
          <w:sz w:val="22"/>
          <w:szCs w:val="22"/>
        </w:rPr>
      </w:pPr>
      <w:r>
        <w:rPr>
          <w:rFonts w:ascii="Arial" w:hAnsi="Arial" w:cs="Arial"/>
          <w:sz w:val="22"/>
          <w:szCs w:val="22"/>
        </w:rPr>
        <w:t>v</w:t>
      </w:r>
      <w:r w:rsidRPr="00DB1459">
        <w:rPr>
          <w:rFonts w:ascii="Arial" w:hAnsi="Arial" w:cs="Arial"/>
          <w:sz w:val="22"/>
          <w:szCs w:val="22"/>
        </w:rPr>
        <w:t>ysoké nároky na</w:t>
      </w:r>
      <w:r>
        <w:rPr>
          <w:rFonts w:ascii="Arial" w:hAnsi="Arial" w:cs="Arial"/>
          <w:sz w:val="22"/>
          <w:szCs w:val="22"/>
        </w:rPr>
        <w:t xml:space="preserve"> personální zajištění realizací,</w:t>
      </w:r>
    </w:p>
    <w:p w:rsidR="00A64035" w:rsidRPr="00DB1459" w:rsidRDefault="00A64035" w:rsidP="00557F1F">
      <w:pPr>
        <w:pStyle w:val="Odstavecseseznamem"/>
        <w:numPr>
          <w:ilvl w:val="0"/>
          <w:numId w:val="35"/>
        </w:numPr>
        <w:autoSpaceDE w:val="0"/>
        <w:autoSpaceDN w:val="0"/>
        <w:adjustRightInd w:val="0"/>
        <w:ind w:left="723"/>
        <w:contextualSpacing/>
        <w:rPr>
          <w:rFonts w:ascii="Arial" w:hAnsi="Arial" w:cs="Arial"/>
          <w:sz w:val="22"/>
          <w:szCs w:val="22"/>
        </w:rPr>
      </w:pPr>
      <w:r>
        <w:rPr>
          <w:rFonts w:ascii="Arial" w:hAnsi="Arial" w:cs="Arial"/>
          <w:sz w:val="22"/>
          <w:szCs w:val="22"/>
        </w:rPr>
        <w:t>v</w:t>
      </w:r>
      <w:r w:rsidRPr="00DB1459">
        <w:rPr>
          <w:rFonts w:ascii="Arial" w:hAnsi="Arial" w:cs="Arial"/>
          <w:sz w:val="22"/>
          <w:szCs w:val="22"/>
        </w:rPr>
        <w:t>ysoké nároky na adm</w:t>
      </w:r>
      <w:r>
        <w:rPr>
          <w:rFonts w:ascii="Arial" w:hAnsi="Arial" w:cs="Arial"/>
          <w:sz w:val="22"/>
          <w:szCs w:val="22"/>
        </w:rPr>
        <w:t>inistrativu spojenou s dotacemi,</w:t>
      </w:r>
    </w:p>
    <w:p w:rsidR="00A64035" w:rsidRPr="00DB1459" w:rsidRDefault="00A64035" w:rsidP="00557F1F">
      <w:pPr>
        <w:pStyle w:val="Odstavecseseznamem"/>
        <w:numPr>
          <w:ilvl w:val="0"/>
          <w:numId w:val="35"/>
        </w:numPr>
        <w:autoSpaceDE w:val="0"/>
        <w:autoSpaceDN w:val="0"/>
        <w:adjustRightInd w:val="0"/>
        <w:ind w:left="723"/>
        <w:contextualSpacing/>
        <w:rPr>
          <w:rFonts w:ascii="Arial" w:hAnsi="Arial" w:cs="Arial"/>
          <w:sz w:val="22"/>
          <w:szCs w:val="22"/>
        </w:rPr>
      </w:pPr>
      <w:r>
        <w:rPr>
          <w:rFonts w:ascii="Arial" w:hAnsi="Arial" w:cs="Arial"/>
          <w:sz w:val="22"/>
          <w:szCs w:val="22"/>
        </w:rPr>
        <w:t>p</w:t>
      </w:r>
      <w:r w:rsidRPr="00DB1459">
        <w:rPr>
          <w:rFonts w:ascii="Arial" w:hAnsi="Arial" w:cs="Arial"/>
          <w:sz w:val="22"/>
          <w:szCs w:val="22"/>
        </w:rPr>
        <w:t>otř</w:t>
      </w:r>
      <w:r>
        <w:rPr>
          <w:rFonts w:ascii="Arial" w:hAnsi="Arial" w:cs="Arial"/>
          <w:sz w:val="22"/>
          <w:szCs w:val="22"/>
        </w:rPr>
        <w:t>eba vytvoření realizačního týmu,</w:t>
      </w:r>
    </w:p>
    <w:p w:rsidR="00A64035" w:rsidRPr="00DB1459" w:rsidRDefault="00A64035" w:rsidP="00557F1F">
      <w:pPr>
        <w:pStyle w:val="Odstavecseseznamem"/>
        <w:numPr>
          <w:ilvl w:val="0"/>
          <w:numId w:val="35"/>
        </w:numPr>
        <w:autoSpaceDE w:val="0"/>
        <w:autoSpaceDN w:val="0"/>
        <w:adjustRightInd w:val="0"/>
        <w:ind w:left="723"/>
        <w:contextualSpacing/>
        <w:rPr>
          <w:rFonts w:ascii="Arial" w:hAnsi="Arial" w:cs="Arial"/>
          <w:sz w:val="22"/>
          <w:szCs w:val="22"/>
        </w:rPr>
      </w:pPr>
      <w:r>
        <w:rPr>
          <w:rFonts w:ascii="Arial" w:hAnsi="Arial" w:cs="Arial"/>
          <w:sz w:val="22"/>
          <w:szCs w:val="22"/>
        </w:rPr>
        <w:t>n</w:t>
      </w:r>
      <w:r w:rsidRPr="00DB1459">
        <w:rPr>
          <w:rFonts w:ascii="Arial" w:hAnsi="Arial" w:cs="Arial"/>
          <w:sz w:val="22"/>
          <w:szCs w:val="22"/>
        </w:rPr>
        <w:t>utná finanční spoluúčast města, další dopady na rozpočet města.</w:t>
      </w:r>
    </w:p>
    <w:p w:rsidR="00A64035" w:rsidRPr="00DB1459" w:rsidRDefault="00A64035" w:rsidP="00A64035">
      <w:pPr>
        <w:autoSpaceDE w:val="0"/>
        <w:autoSpaceDN w:val="0"/>
        <w:adjustRightInd w:val="0"/>
        <w:rPr>
          <w:rFonts w:cs="Arial"/>
          <w:bCs/>
          <w:color w:val="8064A2"/>
          <w:sz w:val="22"/>
          <w:szCs w:val="22"/>
        </w:rPr>
      </w:pPr>
    </w:p>
    <w:p w:rsidR="00A64035" w:rsidRPr="00DB1459" w:rsidRDefault="00A64035" w:rsidP="00A64035">
      <w:pPr>
        <w:autoSpaceDE w:val="0"/>
        <w:autoSpaceDN w:val="0"/>
        <w:adjustRightInd w:val="0"/>
        <w:rPr>
          <w:rFonts w:cs="Arial"/>
          <w:sz w:val="22"/>
          <w:szCs w:val="22"/>
        </w:rPr>
      </w:pPr>
      <w:r>
        <w:rPr>
          <w:rFonts w:cs="Arial"/>
          <w:sz w:val="22"/>
          <w:szCs w:val="22"/>
        </w:rPr>
        <w:t>Dopad na rozpočet města:</w:t>
      </w:r>
    </w:p>
    <w:p w:rsidR="00A64035" w:rsidRDefault="00A64035" w:rsidP="00A64035">
      <w:pPr>
        <w:autoSpaceDE w:val="0"/>
        <w:autoSpaceDN w:val="0"/>
        <w:adjustRightInd w:val="0"/>
        <w:rPr>
          <w:rFonts w:cs="Arial"/>
          <w:sz w:val="22"/>
          <w:szCs w:val="22"/>
        </w:rPr>
      </w:pPr>
      <w:r w:rsidRPr="00DB1459">
        <w:rPr>
          <w:rFonts w:cs="Arial"/>
          <w:sz w:val="22"/>
          <w:szCs w:val="22"/>
        </w:rPr>
        <w:t xml:space="preserve">Ve výši </w:t>
      </w:r>
      <w:r w:rsidRPr="00DB1459">
        <w:rPr>
          <w:rFonts w:cs="Arial"/>
          <w:bCs/>
          <w:sz w:val="22"/>
          <w:szCs w:val="22"/>
        </w:rPr>
        <w:t>1.000.000,- K</w:t>
      </w:r>
      <w:r w:rsidRPr="00DB1459">
        <w:rPr>
          <w:rFonts w:cs="Arial"/>
          <w:sz w:val="22"/>
          <w:szCs w:val="22"/>
        </w:rPr>
        <w:t xml:space="preserve">č </w:t>
      </w:r>
      <w:r w:rsidRPr="00DB1459">
        <w:rPr>
          <w:rFonts w:cs="Arial"/>
          <w:bCs/>
          <w:sz w:val="22"/>
          <w:szCs w:val="22"/>
        </w:rPr>
        <w:t>až 2.500.000,- K</w:t>
      </w:r>
      <w:r w:rsidRPr="00DB1459">
        <w:rPr>
          <w:rFonts w:cs="Arial"/>
          <w:sz w:val="22"/>
          <w:szCs w:val="22"/>
        </w:rPr>
        <w:t>č na přípravu technických projektů a zpracování žádostí (v závislosti na objemu připravovaných investic). Vzhledem k nutné finanční spoluúčasti města na financování uvedených projektů bude dopad na rozpočet města jistě větší, a to v závislosti na úspěšnosti města při získávání dotací.</w:t>
      </w:r>
    </w:p>
    <w:p w:rsidR="00A64035" w:rsidRDefault="00A64035" w:rsidP="00A64035">
      <w:pPr>
        <w:autoSpaceDE w:val="0"/>
        <w:autoSpaceDN w:val="0"/>
        <w:adjustRightInd w:val="0"/>
        <w:rPr>
          <w:rFonts w:cs="Arial"/>
          <w:sz w:val="22"/>
          <w:szCs w:val="22"/>
        </w:rPr>
      </w:pPr>
    </w:p>
    <w:p w:rsidR="00A64035" w:rsidRDefault="00A64035" w:rsidP="00557F1F">
      <w:pPr>
        <w:pStyle w:val="Nadpis2"/>
        <w:numPr>
          <w:ilvl w:val="1"/>
          <w:numId w:val="3"/>
        </w:numPr>
      </w:pPr>
      <w:r>
        <w:t>SHRNUTÍ</w:t>
      </w:r>
    </w:p>
    <w:p w:rsidR="00A64035" w:rsidRDefault="00A64035" w:rsidP="00A64035"/>
    <w:p w:rsidR="00A64035" w:rsidRDefault="00A64035" w:rsidP="00A64035">
      <w:pPr>
        <w:autoSpaceDE w:val="0"/>
        <w:autoSpaceDN w:val="0"/>
        <w:adjustRightInd w:val="0"/>
        <w:rPr>
          <w:rFonts w:cs="Arial"/>
          <w:sz w:val="22"/>
          <w:szCs w:val="22"/>
        </w:rPr>
      </w:pPr>
      <w:r w:rsidRPr="00DB1459">
        <w:rPr>
          <w:rFonts w:cs="Arial"/>
          <w:sz w:val="22"/>
          <w:szCs w:val="22"/>
        </w:rPr>
        <w:t xml:space="preserve">Pro další období je nutno počítat s využitím všech uvedených zdrojů financování činnosti </w:t>
      </w:r>
      <w:r>
        <w:rPr>
          <w:rFonts w:cs="Arial"/>
          <w:sz w:val="22"/>
          <w:szCs w:val="22"/>
        </w:rPr>
        <w:br/>
      </w:r>
      <w:r w:rsidRPr="00DB1459">
        <w:rPr>
          <w:rFonts w:cs="Arial"/>
          <w:sz w:val="22"/>
          <w:szCs w:val="22"/>
        </w:rPr>
        <w:t>v oblasti školství.</w:t>
      </w:r>
    </w:p>
    <w:p w:rsidR="00A64035" w:rsidRDefault="00A64035" w:rsidP="00A64035">
      <w:pPr>
        <w:autoSpaceDE w:val="0"/>
        <w:autoSpaceDN w:val="0"/>
        <w:adjustRightInd w:val="0"/>
        <w:rPr>
          <w:rFonts w:cs="Arial"/>
          <w:sz w:val="22"/>
          <w:szCs w:val="22"/>
        </w:rPr>
      </w:pPr>
    </w:p>
    <w:p w:rsidR="00A64035" w:rsidRDefault="00A64035" w:rsidP="00A64035">
      <w:pPr>
        <w:autoSpaceDE w:val="0"/>
        <w:autoSpaceDN w:val="0"/>
        <w:adjustRightInd w:val="0"/>
        <w:rPr>
          <w:rFonts w:cs="Arial"/>
          <w:sz w:val="22"/>
          <w:szCs w:val="22"/>
        </w:rPr>
      </w:pPr>
    </w:p>
    <w:p w:rsidR="00A64035" w:rsidRDefault="00A64035" w:rsidP="00A64035">
      <w:pPr>
        <w:autoSpaceDE w:val="0"/>
        <w:autoSpaceDN w:val="0"/>
        <w:adjustRightInd w:val="0"/>
        <w:rPr>
          <w:rFonts w:cs="Arial"/>
          <w:sz w:val="22"/>
          <w:szCs w:val="22"/>
        </w:rPr>
      </w:pPr>
    </w:p>
    <w:p w:rsidR="006B3503" w:rsidRDefault="006B3503" w:rsidP="00A64035">
      <w:pPr>
        <w:autoSpaceDE w:val="0"/>
        <w:autoSpaceDN w:val="0"/>
        <w:adjustRightInd w:val="0"/>
        <w:rPr>
          <w:rFonts w:cs="Arial"/>
          <w:sz w:val="22"/>
          <w:szCs w:val="22"/>
        </w:rPr>
      </w:pPr>
    </w:p>
    <w:p w:rsidR="00A64035" w:rsidRPr="00DB1459" w:rsidRDefault="00A64035" w:rsidP="00A64035">
      <w:pPr>
        <w:autoSpaceDE w:val="0"/>
        <w:autoSpaceDN w:val="0"/>
        <w:adjustRightInd w:val="0"/>
        <w:rPr>
          <w:rFonts w:cs="Arial"/>
          <w:sz w:val="22"/>
          <w:szCs w:val="22"/>
        </w:rPr>
      </w:pPr>
    </w:p>
    <w:p w:rsidR="00A64035" w:rsidRPr="00DB1459" w:rsidRDefault="00A64035" w:rsidP="00A64035">
      <w:pPr>
        <w:autoSpaceDE w:val="0"/>
        <w:autoSpaceDN w:val="0"/>
        <w:adjustRightInd w:val="0"/>
        <w:rPr>
          <w:rFonts w:cs="Arial"/>
          <w:sz w:val="22"/>
          <w:szCs w:val="22"/>
        </w:rPr>
      </w:pPr>
    </w:p>
    <w:p w:rsidR="00A64035" w:rsidRDefault="00A64035" w:rsidP="00A64035">
      <w:pPr>
        <w:rPr>
          <w:bCs/>
          <w:sz w:val="22"/>
          <w:szCs w:val="22"/>
        </w:rPr>
      </w:pPr>
    </w:p>
    <w:p w:rsidR="00A64035" w:rsidRDefault="00A64035" w:rsidP="00557F1F">
      <w:pPr>
        <w:pStyle w:val="Nadpis1"/>
        <w:numPr>
          <w:ilvl w:val="0"/>
          <w:numId w:val="3"/>
        </w:numPr>
        <w:jc w:val="left"/>
      </w:pPr>
      <w:r>
        <w:lastRenderedPageBreak/>
        <w:t>ZÁVĚR</w:t>
      </w:r>
    </w:p>
    <w:p w:rsidR="00A64035" w:rsidRPr="008F65BB" w:rsidRDefault="00A64035" w:rsidP="00A64035"/>
    <w:p w:rsidR="00A64035" w:rsidRPr="008F65BB" w:rsidRDefault="00A64035" w:rsidP="00A64035">
      <w:pPr>
        <w:rPr>
          <w:bCs/>
          <w:sz w:val="22"/>
          <w:szCs w:val="22"/>
        </w:rPr>
      </w:pPr>
      <w:r w:rsidRPr="008F65BB">
        <w:rPr>
          <w:bCs/>
          <w:sz w:val="22"/>
          <w:szCs w:val="22"/>
        </w:rPr>
        <w:t xml:space="preserve">Tento Záměr je v mnoha směrech dynamickým. Je vypracován do roku 2020 a jsme </w:t>
      </w:r>
      <w:r>
        <w:rPr>
          <w:bCs/>
          <w:sz w:val="22"/>
          <w:szCs w:val="22"/>
        </w:rPr>
        <w:br/>
      </w:r>
      <w:r w:rsidRPr="008F65BB">
        <w:rPr>
          <w:bCs/>
          <w:sz w:val="22"/>
          <w:szCs w:val="22"/>
        </w:rPr>
        <w:t xml:space="preserve">si vědomi, že bude zapotřebí s jeho obsahem neustále intenzivně pracovat, pravidelně vyhodnocovat jednotlivá opatření a provádět opatření a revize jednotlivých koncepčních pilířů. </w:t>
      </w:r>
    </w:p>
    <w:p w:rsidR="00A64035" w:rsidRPr="008F65BB" w:rsidRDefault="00A64035" w:rsidP="00A64035">
      <w:pPr>
        <w:rPr>
          <w:bCs/>
          <w:sz w:val="22"/>
          <w:szCs w:val="22"/>
        </w:rPr>
      </w:pPr>
      <w:r w:rsidRPr="008F65BB">
        <w:rPr>
          <w:bCs/>
          <w:sz w:val="22"/>
          <w:szCs w:val="22"/>
        </w:rPr>
        <w:t xml:space="preserve">Za důležité považujeme rovněž pravidelné vyhodnocování úspěchů a neúspěchů </w:t>
      </w:r>
      <w:r w:rsidRPr="008F65BB">
        <w:rPr>
          <w:bCs/>
          <w:sz w:val="22"/>
          <w:szCs w:val="22"/>
        </w:rPr>
        <w:br/>
        <w:t>a přijímat patřičná opatření k minimalizování těchto neúspěchů.</w:t>
      </w:r>
    </w:p>
    <w:p w:rsidR="00A64035" w:rsidRPr="008F65BB" w:rsidRDefault="00A64035" w:rsidP="00A64035">
      <w:pPr>
        <w:rPr>
          <w:bCs/>
          <w:sz w:val="22"/>
          <w:szCs w:val="22"/>
        </w:rPr>
      </w:pPr>
      <w:r w:rsidRPr="008F65BB">
        <w:rPr>
          <w:bCs/>
          <w:sz w:val="22"/>
          <w:szCs w:val="22"/>
        </w:rPr>
        <w:t xml:space="preserve">Realizací k naplňování Záměru jsou pověřeny příslušné odbory magistrátu. Hodnocení </w:t>
      </w:r>
      <w:r>
        <w:rPr>
          <w:bCs/>
          <w:sz w:val="22"/>
          <w:szCs w:val="22"/>
        </w:rPr>
        <w:br/>
      </w:r>
      <w:r w:rsidRPr="008F65BB">
        <w:rPr>
          <w:bCs/>
          <w:sz w:val="22"/>
          <w:szCs w:val="22"/>
        </w:rPr>
        <w:t xml:space="preserve">a návrhy úprav jsou v kompetenci Výboru pro výchovu, vzdělávání a zaměstnanost Zastupitelstva statutárního města Chomutov. </w:t>
      </w: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Default="00A64035" w:rsidP="00A64035">
      <w:pPr>
        <w:ind w:left="360"/>
      </w:pPr>
    </w:p>
    <w:p w:rsidR="00A64035" w:rsidRPr="00406C54" w:rsidRDefault="00A64035" w:rsidP="00A64035">
      <w:pPr>
        <w:ind w:left="360"/>
      </w:pPr>
    </w:p>
    <w:p w:rsidR="00A64035" w:rsidRDefault="00A64035" w:rsidP="00557F1F">
      <w:pPr>
        <w:pStyle w:val="Nadpis1"/>
        <w:numPr>
          <w:ilvl w:val="0"/>
          <w:numId w:val="3"/>
        </w:numPr>
        <w:jc w:val="left"/>
      </w:pPr>
      <w:r>
        <w:t>PŘÍLOHOVÁ ČÁST</w:t>
      </w:r>
    </w:p>
    <w:p w:rsidR="00A64035" w:rsidRPr="00BE579C" w:rsidRDefault="00A64035" w:rsidP="00A64035"/>
    <w:p w:rsidR="00A64035" w:rsidRDefault="00A64035" w:rsidP="00A64035">
      <w:pPr>
        <w:rPr>
          <w:i/>
        </w:rPr>
      </w:pPr>
    </w:p>
    <w:p w:rsidR="00A64035" w:rsidRPr="005209F8" w:rsidRDefault="00A64035" w:rsidP="00A64035">
      <w:pPr>
        <w:rPr>
          <w:sz w:val="22"/>
          <w:szCs w:val="22"/>
        </w:rPr>
      </w:pPr>
      <w:r w:rsidRPr="005209F8">
        <w:rPr>
          <w:i/>
          <w:sz w:val="22"/>
          <w:szCs w:val="22"/>
        </w:rPr>
        <w:t>Příloha č. 1. Přehled škol, kontakty</w:t>
      </w:r>
      <w:r w:rsidRPr="005209F8">
        <w:rPr>
          <w:sz w:val="22"/>
          <w:szCs w:val="22"/>
        </w:rPr>
        <w:t xml:space="preserve"> </w:t>
      </w:r>
    </w:p>
    <w:p w:rsidR="00A64035" w:rsidRDefault="00A64035" w:rsidP="00A64035"/>
    <w:p w:rsidR="00A64035" w:rsidRDefault="00A64035" w:rsidP="00A64035">
      <w:r>
        <w:rPr>
          <w:noProof/>
        </w:rPr>
        <w:drawing>
          <wp:inline distT="0" distB="0" distL="0" distR="0">
            <wp:extent cx="5762625" cy="63627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6362700"/>
                    </a:xfrm>
                    <a:prstGeom prst="rect">
                      <a:avLst/>
                    </a:prstGeom>
                    <a:noFill/>
                    <a:ln>
                      <a:noFill/>
                    </a:ln>
                  </pic:spPr>
                </pic:pic>
              </a:graphicData>
            </a:graphic>
          </wp:inline>
        </w:drawing>
      </w:r>
    </w:p>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Pr="005209F8" w:rsidRDefault="00A64035" w:rsidP="00A64035">
      <w:pPr>
        <w:rPr>
          <w:sz w:val="22"/>
          <w:szCs w:val="22"/>
        </w:rPr>
      </w:pPr>
      <w:r w:rsidRPr="005209F8">
        <w:rPr>
          <w:i/>
          <w:sz w:val="22"/>
          <w:szCs w:val="22"/>
        </w:rPr>
        <w:lastRenderedPageBreak/>
        <w:t>Příloha č. 2. Naplněnost MŠ</w:t>
      </w:r>
      <w:r w:rsidRPr="005209F8">
        <w:rPr>
          <w:sz w:val="22"/>
          <w:szCs w:val="22"/>
        </w:rPr>
        <w:t xml:space="preserve"> </w:t>
      </w:r>
    </w:p>
    <w:p w:rsidR="00A64035" w:rsidRDefault="00A64035" w:rsidP="00A64035"/>
    <w:p w:rsidR="00A64035" w:rsidRDefault="00A64035" w:rsidP="00A64035">
      <w:r>
        <w:rPr>
          <w:noProof/>
        </w:rPr>
        <w:drawing>
          <wp:inline distT="0" distB="0" distL="0" distR="0">
            <wp:extent cx="5762625" cy="31432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3143250"/>
                    </a:xfrm>
                    <a:prstGeom prst="rect">
                      <a:avLst/>
                    </a:prstGeom>
                    <a:noFill/>
                    <a:ln>
                      <a:noFill/>
                    </a:ln>
                  </pic:spPr>
                </pic:pic>
              </a:graphicData>
            </a:graphic>
          </wp:inline>
        </w:drawing>
      </w:r>
    </w:p>
    <w:p w:rsidR="00A64035" w:rsidRDefault="00A64035" w:rsidP="00A64035"/>
    <w:p w:rsidR="00A64035" w:rsidRDefault="00A64035" w:rsidP="00A64035">
      <w:r>
        <w:rPr>
          <w:noProof/>
        </w:rPr>
        <w:drawing>
          <wp:inline distT="0" distB="0" distL="0" distR="0">
            <wp:extent cx="5762625" cy="33432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3343275"/>
                    </a:xfrm>
                    <a:prstGeom prst="rect">
                      <a:avLst/>
                    </a:prstGeom>
                    <a:noFill/>
                    <a:ln>
                      <a:noFill/>
                    </a:ln>
                  </pic:spPr>
                </pic:pic>
              </a:graphicData>
            </a:graphic>
          </wp:inline>
        </w:drawing>
      </w:r>
    </w:p>
    <w:p w:rsidR="00A64035" w:rsidRDefault="00A64035" w:rsidP="00A64035"/>
    <w:p w:rsidR="00A64035" w:rsidRDefault="00A64035" w:rsidP="00A64035"/>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Pr="005209F8" w:rsidRDefault="00A64035" w:rsidP="00A64035">
      <w:pPr>
        <w:rPr>
          <w:i/>
          <w:sz w:val="22"/>
          <w:szCs w:val="22"/>
        </w:rPr>
      </w:pPr>
      <w:r w:rsidRPr="005209F8">
        <w:rPr>
          <w:i/>
          <w:sz w:val="22"/>
          <w:szCs w:val="22"/>
        </w:rPr>
        <w:lastRenderedPageBreak/>
        <w:t>Příloha č. 3. Přehled škol, kontakty</w:t>
      </w:r>
    </w:p>
    <w:p w:rsidR="00A64035" w:rsidRDefault="00A64035" w:rsidP="00A64035">
      <w:pPr>
        <w:rPr>
          <w:i/>
        </w:rPr>
      </w:pPr>
    </w:p>
    <w:p w:rsidR="00A64035" w:rsidRDefault="00A64035" w:rsidP="00A64035">
      <w:pPr>
        <w:rPr>
          <w:i/>
        </w:rPr>
      </w:pPr>
      <w:r>
        <w:rPr>
          <w:noProof/>
        </w:rPr>
        <w:drawing>
          <wp:inline distT="0" distB="0" distL="0" distR="0">
            <wp:extent cx="5753100" cy="5181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5181600"/>
                    </a:xfrm>
                    <a:prstGeom prst="rect">
                      <a:avLst/>
                    </a:prstGeom>
                    <a:noFill/>
                    <a:ln>
                      <a:noFill/>
                    </a:ln>
                  </pic:spPr>
                </pic:pic>
              </a:graphicData>
            </a:graphic>
          </wp:inline>
        </w:drawing>
      </w: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Pr="005209F8" w:rsidRDefault="00A64035" w:rsidP="00A64035">
      <w:pPr>
        <w:rPr>
          <w:i/>
          <w:sz w:val="22"/>
          <w:szCs w:val="22"/>
        </w:rPr>
      </w:pPr>
      <w:r w:rsidRPr="005209F8">
        <w:rPr>
          <w:i/>
          <w:sz w:val="22"/>
          <w:szCs w:val="22"/>
        </w:rPr>
        <w:t>Příloha č. 4. Naplněnost ZŠ</w:t>
      </w:r>
    </w:p>
    <w:p w:rsidR="00A64035" w:rsidRDefault="00A64035" w:rsidP="00A64035">
      <w:pPr>
        <w:rPr>
          <w:i/>
        </w:rPr>
      </w:pPr>
    </w:p>
    <w:p w:rsidR="00A64035" w:rsidRDefault="00A64035" w:rsidP="00A64035">
      <w:pPr>
        <w:rPr>
          <w:i/>
        </w:rPr>
      </w:pPr>
    </w:p>
    <w:p w:rsidR="00A64035" w:rsidRDefault="00A64035" w:rsidP="00A64035">
      <w:pPr>
        <w:rPr>
          <w:noProof/>
        </w:rPr>
      </w:pPr>
      <w:r>
        <w:rPr>
          <w:noProof/>
        </w:rPr>
        <w:drawing>
          <wp:inline distT="0" distB="0" distL="0" distR="0">
            <wp:extent cx="5762625" cy="2667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2667000"/>
                    </a:xfrm>
                    <a:prstGeom prst="rect">
                      <a:avLst/>
                    </a:prstGeom>
                    <a:noFill/>
                    <a:ln>
                      <a:noFill/>
                    </a:ln>
                  </pic:spPr>
                </pic:pic>
              </a:graphicData>
            </a:graphic>
          </wp:inline>
        </w:drawing>
      </w:r>
      <w:r w:rsidRPr="00912774">
        <w:rPr>
          <w:i/>
        </w:rPr>
        <w:br/>
      </w:r>
    </w:p>
    <w:p w:rsidR="00A64035" w:rsidRDefault="00A64035" w:rsidP="00A64035"/>
    <w:p w:rsidR="00A64035" w:rsidRDefault="00A64035" w:rsidP="00A64035"/>
    <w:p w:rsidR="00A64035" w:rsidRDefault="00A64035" w:rsidP="00A64035">
      <w:r>
        <w:rPr>
          <w:noProof/>
        </w:rPr>
        <w:drawing>
          <wp:inline distT="0" distB="0" distL="0" distR="0">
            <wp:extent cx="5762625" cy="2514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2514600"/>
                    </a:xfrm>
                    <a:prstGeom prst="rect">
                      <a:avLst/>
                    </a:prstGeom>
                    <a:noFill/>
                    <a:ln>
                      <a:noFill/>
                    </a:ln>
                  </pic:spPr>
                </pic:pic>
              </a:graphicData>
            </a:graphic>
          </wp:inline>
        </w:drawing>
      </w:r>
    </w:p>
    <w:p w:rsidR="00A64035" w:rsidRDefault="00A64035" w:rsidP="00A64035">
      <w:pPr>
        <w:rPr>
          <w:noProof/>
        </w:rPr>
      </w:pPr>
    </w:p>
    <w:p w:rsidR="00A64035" w:rsidRDefault="00A64035" w:rsidP="00A64035">
      <w:pPr>
        <w:rPr>
          <w:noProof/>
        </w:rPr>
      </w:pPr>
    </w:p>
    <w:p w:rsidR="00A64035" w:rsidRDefault="00A64035" w:rsidP="00A64035">
      <w:pPr>
        <w:rPr>
          <w:noProof/>
        </w:rPr>
      </w:pPr>
    </w:p>
    <w:p w:rsidR="00A64035" w:rsidRDefault="00A64035" w:rsidP="00A64035">
      <w:pPr>
        <w:rPr>
          <w:noProof/>
        </w:rPr>
      </w:pPr>
    </w:p>
    <w:p w:rsidR="00A64035" w:rsidRDefault="00A64035" w:rsidP="00A64035">
      <w:pPr>
        <w:rPr>
          <w:noProof/>
        </w:rPr>
      </w:pPr>
    </w:p>
    <w:p w:rsidR="00A64035" w:rsidRDefault="00A64035" w:rsidP="00A64035">
      <w:pPr>
        <w:rPr>
          <w:noProof/>
        </w:rPr>
      </w:pPr>
    </w:p>
    <w:p w:rsidR="00A64035" w:rsidRDefault="00A64035" w:rsidP="00A64035">
      <w:pPr>
        <w:rPr>
          <w:noProof/>
        </w:rPr>
      </w:pPr>
    </w:p>
    <w:p w:rsidR="00A64035" w:rsidRDefault="00A64035" w:rsidP="00A64035">
      <w:pPr>
        <w:rPr>
          <w:noProof/>
        </w:rPr>
      </w:pPr>
    </w:p>
    <w:p w:rsidR="00A64035" w:rsidRDefault="00A64035" w:rsidP="00A64035">
      <w:pPr>
        <w:rPr>
          <w:noProof/>
        </w:rPr>
      </w:pPr>
    </w:p>
    <w:p w:rsidR="00A64035" w:rsidRDefault="00A64035" w:rsidP="00A64035">
      <w:pPr>
        <w:rPr>
          <w:noProof/>
        </w:rPr>
      </w:pPr>
    </w:p>
    <w:p w:rsidR="00A64035" w:rsidRDefault="00A64035" w:rsidP="00A64035">
      <w:pPr>
        <w:rPr>
          <w:noProof/>
        </w:rPr>
      </w:pPr>
    </w:p>
    <w:p w:rsidR="00A64035" w:rsidRDefault="00A64035" w:rsidP="00A64035">
      <w:pPr>
        <w:rPr>
          <w:i/>
        </w:rPr>
      </w:pPr>
    </w:p>
    <w:p w:rsidR="00A64035" w:rsidRPr="005209F8" w:rsidRDefault="00A64035" w:rsidP="00A64035">
      <w:pPr>
        <w:rPr>
          <w:i/>
          <w:sz w:val="22"/>
          <w:szCs w:val="22"/>
        </w:rPr>
      </w:pPr>
      <w:r w:rsidRPr="005209F8">
        <w:rPr>
          <w:i/>
          <w:sz w:val="22"/>
          <w:szCs w:val="22"/>
        </w:rPr>
        <w:lastRenderedPageBreak/>
        <w:t>Příloha č. 5. Využití kapacit ŠJ ZŠ</w:t>
      </w:r>
    </w:p>
    <w:p w:rsidR="00A64035" w:rsidRDefault="00A64035" w:rsidP="00A64035">
      <w:pPr>
        <w:rPr>
          <w:i/>
        </w:rPr>
      </w:pPr>
    </w:p>
    <w:p w:rsidR="00A64035" w:rsidRDefault="00A64035" w:rsidP="00A64035">
      <w:pPr>
        <w:rPr>
          <w:i/>
        </w:rPr>
      </w:pPr>
    </w:p>
    <w:p w:rsidR="00A64035" w:rsidRDefault="00A64035" w:rsidP="00A64035">
      <w:pPr>
        <w:rPr>
          <w:i/>
        </w:rPr>
      </w:pPr>
      <w:r>
        <w:rPr>
          <w:noProof/>
        </w:rPr>
        <w:drawing>
          <wp:inline distT="0" distB="0" distL="0" distR="0">
            <wp:extent cx="5753100" cy="58293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5829300"/>
                    </a:xfrm>
                    <a:prstGeom prst="rect">
                      <a:avLst/>
                    </a:prstGeom>
                    <a:noFill/>
                    <a:ln>
                      <a:noFill/>
                    </a:ln>
                  </pic:spPr>
                </pic:pic>
              </a:graphicData>
            </a:graphic>
          </wp:inline>
        </w:drawing>
      </w: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Default="00A64035" w:rsidP="00A64035">
      <w:pPr>
        <w:rPr>
          <w:i/>
        </w:rPr>
      </w:pPr>
    </w:p>
    <w:p w:rsidR="00A64035" w:rsidRPr="005209F8" w:rsidRDefault="00A64035" w:rsidP="00A64035">
      <w:pPr>
        <w:rPr>
          <w:i/>
          <w:sz w:val="22"/>
          <w:szCs w:val="22"/>
        </w:rPr>
      </w:pPr>
      <w:r w:rsidRPr="005209F8">
        <w:rPr>
          <w:i/>
          <w:sz w:val="22"/>
          <w:szCs w:val="22"/>
        </w:rPr>
        <w:t>Příloha č. 6. Využití kapacit ŠD ZŠ</w:t>
      </w:r>
    </w:p>
    <w:p w:rsidR="00A64035" w:rsidRDefault="00A64035" w:rsidP="00A64035">
      <w:pPr>
        <w:rPr>
          <w:i/>
        </w:rPr>
      </w:pPr>
    </w:p>
    <w:p w:rsidR="00A64035" w:rsidRDefault="00A64035" w:rsidP="00A64035">
      <w:r>
        <w:rPr>
          <w:noProof/>
        </w:rPr>
        <w:drawing>
          <wp:inline distT="0" distB="0" distL="0" distR="0">
            <wp:extent cx="5762625" cy="23336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2333625"/>
                    </a:xfrm>
                    <a:prstGeom prst="rect">
                      <a:avLst/>
                    </a:prstGeom>
                    <a:noFill/>
                    <a:ln>
                      <a:noFill/>
                    </a:ln>
                  </pic:spPr>
                </pic:pic>
              </a:graphicData>
            </a:graphic>
          </wp:inline>
        </w:drawing>
      </w:r>
    </w:p>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Default="00A64035" w:rsidP="00A64035"/>
    <w:p w:rsidR="00A64035" w:rsidRPr="005209F8" w:rsidRDefault="00A64035" w:rsidP="00A64035">
      <w:pPr>
        <w:rPr>
          <w:sz w:val="22"/>
          <w:szCs w:val="22"/>
        </w:rPr>
      </w:pPr>
      <w:r w:rsidRPr="005209F8">
        <w:rPr>
          <w:sz w:val="22"/>
          <w:szCs w:val="22"/>
        </w:rPr>
        <w:t>Příloha č. 7. Provozní náklady škol</w:t>
      </w:r>
    </w:p>
    <w:p w:rsidR="00A64035" w:rsidRDefault="00A64035" w:rsidP="00A64035"/>
    <w:p w:rsidR="00A64035" w:rsidRDefault="00A64035" w:rsidP="00A64035">
      <w:pPr>
        <w:tabs>
          <w:tab w:val="left" w:pos="3186"/>
        </w:tabs>
        <w:jc w:val="both"/>
        <w:rPr>
          <w:b/>
          <w:bCs/>
          <w:sz w:val="20"/>
        </w:rPr>
      </w:pPr>
      <w:r>
        <w:rPr>
          <w:noProof/>
        </w:rPr>
        <w:drawing>
          <wp:inline distT="0" distB="0" distL="0" distR="0">
            <wp:extent cx="5762625" cy="5448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2625" cy="5448300"/>
                    </a:xfrm>
                    <a:prstGeom prst="rect">
                      <a:avLst/>
                    </a:prstGeom>
                    <a:noFill/>
                    <a:ln>
                      <a:noFill/>
                    </a:ln>
                  </pic:spPr>
                </pic:pic>
              </a:graphicData>
            </a:graphic>
          </wp:inline>
        </w:drawing>
      </w: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pPr>
    </w:p>
    <w:p w:rsidR="00A64035" w:rsidRDefault="00A64035" w:rsidP="00A64035">
      <w:pPr>
        <w:tabs>
          <w:tab w:val="left" w:pos="3186"/>
        </w:tabs>
        <w:jc w:val="both"/>
        <w:rPr>
          <w:b/>
          <w:bCs/>
          <w:sz w:val="20"/>
        </w:rPr>
        <w:sectPr w:rsidR="00A64035" w:rsidSect="0075074A">
          <w:pgSz w:w="11906" w:h="16838"/>
          <w:pgMar w:top="1418" w:right="1418" w:bottom="1418" w:left="1418" w:header="708" w:footer="708" w:gutter="0"/>
          <w:cols w:space="708"/>
          <w:docGrid w:linePitch="360"/>
        </w:sectPr>
      </w:pPr>
    </w:p>
    <w:p w:rsidR="00A64035" w:rsidRDefault="00A64035" w:rsidP="00A64035">
      <w:pPr>
        <w:jc w:val="both"/>
        <w:rPr>
          <w:bCs/>
          <w:i/>
        </w:rPr>
      </w:pPr>
    </w:p>
    <w:p w:rsidR="00A64035" w:rsidRDefault="00A64035" w:rsidP="00A64035">
      <w:pPr>
        <w:jc w:val="both"/>
        <w:rPr>
          <w:bCs/>
          <w:i/>
        </w:rPr>
      </w:pPr>
    </w:p>
    <w:p w:rsidR="00A64035" w:rsidRPr="005209F8" w:rsidRDefault="00A64035" w:rsidP="00A64035">
      <w:pPr>
        <w:jc w:val="both"/>
        <w:rPr>
          <w:bCs/>
          <w:i/>
          <w:sz w:val="22"/>
          <w:szCs w:val="22"/>
        </w:rPr>
      </w:pPr>
      <w:r w:rsidRPr="005209F8">
        <w:rPr>
          <w:bCs/>
          <w:i/>
          <w:sz w:val="22"/>
          <w:szCs w:val="22"/>
        </w:rPr>
        <w:t>Příloha č. 8. Přehled škol, kontakty</w:t>
      </w:r>
    </w:p>
    <w:p w:rsidR="00A64035" w:rsidRDefault="00A64035" w:rsidP="00A64035">
      <w:pPr>
        <w:jc w:val="both"/>
        <w:rPr>
          <w:bCs/>
          <w:i/>
        </w:rPr>
      </w:pPr>
    </w:p>
    <w:p w:rsidR="00A64035" w:rsidRPr="00B87759" w:rsidRDefault="00A64035" w:rsidP="00A64035">
      <w:pPr>
        <w:jc w:val="both"/>
        <w:rPr>
          <w:bCs/>
          <w:i/>
        </w:rPr>
      </w:pPr>
    </w:p>
    <w:tbl>
      <w:tblPr>
        <w:tblW w:w="13795" w:type="dxa"/>
        <w:tblInd w:w="65" w:type="dxa"/>
        <w:tblCellMar>
          <w:left w:w="70" w:type="dxa"/>
          <w:right w:w="70" w:type="dxa"/>
        </w:tblCellMar>
        <w:tblLook w:val="0000" w:firstRow="0" w:lastRow="0" w:firstColumn="0" w:lastColumn="0" w:noHBand="0" w:noVBand="0"/>
      </w:tblPr>
      <w:tblGrid>
        <w:gridCol w:w="11493"/>
        <w:gridCol w:w="2304"/>
      </w:tblGrid>
      <w:tr w:rsidR="00A64035" w:rsidRPr="005209F8" w:rsidTr="0075074A">
        <w:trPr>
          <w:trHeight w:val="311"/>
        </w:trPr>
        <w:tc>
          <w:tcPr>
            <w:tcW w:w="11493" w:type="dxa"/>
            <w:tcBorders>
              <w:top w:val="single" w:sz="4" w:space="0" w:color="auto"/>
              <w:left w:val="single" w:sz="4" w:space="0" w:color="auto"/>
              <w:bottom w:val="single" w:sz="4" w:space="0" w:color="auto"/>
              <w:right w:val="single" w:sz="4" w:space="0" w:color="auto"/>
            </w:tcBorders>
            <w:shd w:val="clear" w:color="auto" w:fill="FBD4B4"/>
            <w:noWrap/>
            <w:vAlign w:val="bottom"/>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 xml:space="preserve">1. Gymnázium, Chomutov, Mostecká 3000, příspěvková organizace    </w:t>
            </w:r>
          </w:p>
        </w:tc>
        <w:tc>
          <w:tcPr>
            <w:tcW w:w="2302" w:type="dxa"/>
            <w:tcBorders>
              <w:top w:val="single" w:sz="4" w:space="0" w:color="auto"/>
              <w:left w:val="single" w:sz="4" w:space="0" w:color="auto"/>
              <w:bottom w:val="single" w:sz="4" w:space="0" w:color="auto"/>
              <w:right w:val="single" w:sz="4" w:space="0" w:color="auto"/>
            </w:tcBorders>
            <w:shd w:val="clear" w:color="auto" w:fill="FBD4B4"/>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www.gymcv.cz</w:t>
            </w:r>
          </w:p>
        </w:tc>
      </w:tr>
      <w:tr w:rsidR="00A64035" w:rsidRPr="005209F8" w:rsidTr="0075074A">
        <w:trPr>
          <w:trHeight w:val="311"/>
        </w:trPr>
        <w:tc>
          <w:tcPr>
            <w:tcW w:w="11493" w:type="dxa"/>
            <w:tcBorders>
              <w:top w:val="nil"/>
              <w:left w:val="single" w:sz="4" w:space="0" w:color="auto"/>
              <w:bottom w:val="single" w:sz="4" w:space="0" w:color="auto"/>
              <w:right w:val="single" w:sz="4" w:space="0" w:color="auto"/>
            </w:tcBorders>
            <w:shd w:val="clear" w:color="auto" w:fill="FBD4B4"/>
            <w:noWrap/>
            <w:vAlign w:val="bottom"/>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 xml:space="preserve">2. Střední průmyslová škola a Vyšší odborná škola, Chomutov, Školní 50, příspěvková organizace </w:t>
            </w:r>
          </w:p>
        </w:tc>
        <w:tc>
          <w:tcPr>
            <w:tcW w:w="2302" w:type="dxa"/>
            <w:tcBorders>
              <w:top w:val="nil"/>
              <w:left w:val="single" w:sz="4" w:space="0" w:color="auto"/>
              <w:bottom w:val="single" w:sz="4" w:space="0" w:color="auto"/>
              <w:right w:val="single" w:sz="4" w:space="0" w:color="auto"/>
            </w:tcBorders>
            <w:shd w:val="clear" w:color="auto" w:fill="FBD4B4"/>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www.spscv.cz</w:t>
            </w:r>
          </w:p>
        </w:tc>
      </w:tr>
      <w:tr w:rsidR="00A64035" w:rsidRPr="005209F8" w:rsidTr="0075074A">
        <w:trPr>
          <w:trHeight w:val="311"/>
        </w:trPr>
        <w:tc>
          <w:tcPr>
            <w:tcW w:w="11493" w:type="dxa"/>
            <w:tcBorders>
              <w:top w:val="nil"/>
              <w:left w:val="single" w:sz="4" w:space="0" w:color="auto"/>
              <w:bottom w:val="single" w:sz="4" w:space="0" w:color="auto"/>
              <w:right w:val="single" w:sz="4" w:space="0" w:color="auto"/>
            </w:tcBorders>
            <w:shd w:val="clear" w:color="auto" w:fill="FBD4B4"/>
            <w:noWrap/>
            <w:vAlign w:val="bottom"/>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 xml:space="preserve">3. Střední zdravotnická škola, Chomutov, Palackého 3, příspěvková organizace    </w:t>
            </w:r>
          </w:p>
        </w:tc>
        <w:tc>
          <w:tcPr>
            <w:tcW w:w="2302" w:type="dxa"/>
            <w:tcBorders>
              <w:top w:val="nil"/>
              <w:left w:val="single" w:sz="4" w:space="0" w:color="auto"/>
              <w:bottom w:val="single" w:sz="4" w:space="0" w:color="auto"/>
              <w:right w:val="single" w:sz="4" w:space="0" w:color="auto"/>
            </w:tcBorders>
            <w:shd w:val="clear" w:color="auto" w:fill="FBD4B4"/>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www.szscv.cz</w:t>
            </w:r>
          </w:p>
        </w:tc>
      </w:tr>
      <w:tr w:rsidR="00A64035" w:rsidRPr="005209F8" w:rsidTr="0075074A">
        <w:trPr>
          <w:trHeight w:val="311"/>
        </w:trPr>
        <w:tc>
          <w:tcPr>
            <w:tcW w:w="11493" w:type="dxa"/>
            <w:tcBorders>
              <w:top w:val="nil"/>
              <w:left w:val="single" w:sz="4" w:space="0" w:color="auto"/>
              <w:bottom w:val="single" w:sz="4" w:space="0" w:color="auto"/>
              <w:right w:val="single" w:sz="4" w:space="0" w:color="auto"/>
            </w:tcBorders>
            <w:shd w:val="clear" w:color="auto" w:fill="FBD4B4"/>
            <w:vAlign w:val="bottom"/>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 xml:space="preserve">4. Střední škola energetická a stavební, Chomutov, Na Průhoně 4800, příspěvková organizace </w:t>
            </w:r>
          </w:p>
        </w:tc>
        <w:tc>
          <w:tcPr>
            <w:tcW w:w="2302" w:type="dxa"/>
            <w:tcBorders>
              <w:top w:val="nil"/>
              <w:left w:val="single" w:sz="4" w:space="0" w:color="auto"/>
              <w:bottom w:val="single" w:sz="4" w:space="0" w:color="auto"/>
              <w:right w:val="single" w:sz="4" w:space="0" w:color="auto"/>
            </w:tcBorders>
            <w:shd w:val="clear" w:color="auto" w:fill="FBD4B4"/>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www.ssescv.cz</w:t>
            </w:r>
          </w:p>
        </w:tc>
      </w:tr>
      <w:tr w:rsidR="00A64035" w:rsidRPr="005209F8" w:rsidTr="0075074A">
        <w:trPr>
          <w:trHeight w:val="311"/>
        </w:trPr>
        <w:tc>
          <w:tcPr>
            <w:tcW w:w="11493" w:type="dxa"/>
            <w:tcBorders>
              <w:top w:val="single" w:sz="4" w:space="0" w:color="auto"/>
              <w:left w:val="single" w:sz="4" w:space="0" w:color="auto"/>
              <w:bottom w:val="single" w:sz="4" w:space="0" w:color="auto"/>
              <w:right w:val="single" w:sz="4" w:space="0" w:color="auto"/>
            </w:tcBorders>
            <w:shd w:val="clear" w:color="auto" w:fill="FBD4B4"/>
            <w:vAlign w:val="bottom"/>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 xml:space="preserve">5. Obchodní akademie, Střední odborná škola gastronomie a Střední odborné učiliště, Chomutov, příspěvková organizace  </w:t>
            </w:r>
          </w:p>
        </w:tc>
        <w:tc>
          <w:tcPr>
            <w:tcW w:w="2302" w:type="dxa"/>
            <w:tcBorders>
              <w:top w:val="single" w:sz="4" w:space="0" w:color="auto"/>
              <w:left w:val="single" w:sz="4" w:space="0" w:color="auto"/>
              <w:bottom w:val="single" w:sz="4" w:space="0" w:color="auto"/>
              <w:right w:val="single" w:sz="4" w:space="0" w:color="auto"/>
            </w:tcBorders>
            <w:shd w:val="clear" w:color="auto" w:fill="FBD4B4"/>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www.oacv.cz</w:t>
            </w:r>
          </w:p>
        </w:tc>
      </w:tr>
      <w:tr w:rsidR="00A64035" w:rsidRPr="005209F8" w:rsidTr="0075074A">
        <w:trPr>
          <w:trHeight w:val="311"/>
        </w:trPr>
        <w:tc>
          <w:tcPr>
            <w:tcW w:w="11493" w:type="dxa"/>
            <w:tcBorders>
              <w:top w:val="single" w:sz="4" w:space="0" w:color="auto"/>
              <w:left w:val="single" w:sz="4" w:space="0" w:color="auto"/>
              <w:bottom w:val="single" w:sz="4" w:space="0" w:color="auto"/>
              <w:right w:val="single" w:sz="4" w:space="0" w:color="auto"/>
            </w:tcBorders>
            <w:shd w:val="clear" w:color="auto" w:fill="FBD4B4"/>
            <w:vAlign w:val="bottom"/>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 xml:space="preserve">6. Střední škola technická a automobilní Chomutov, příspěvková organizace </w:t>
            </w:r>
          </w:p>
        </w:tc>
        <w:tc>
          <w:tcPr>
            <w:tcW w:w="2302" w:type="dxa"/>
            <w:tcBorders>
              <w:top w:val="single" w:sz="4" w:space="0" w:color="auto"/>
              <w:left w:val="single" w:sz="4" w:space="0" w:color="auto"/>
              <w:bottom w:val="single" w:sz="4" w:space="0" w:color="auto"/>
              <w:right w:val="single" w:sz="4" w:space="0" w:color="auto"/>
            </w:tcBorders>
            <w:shd w:val="clear" w:color="auto" w:fill="FBD4B4"/>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www.sstacv.cz</w:t>
            </w:r>
          </w:p>
        </w:tc>
      </w:tr>
      <w:tr w:rsidR="00A64035" w:rsidRPr="005209F8" w:rsidTr="0075074A">
        <w:trPr>
          <w:trHeight w:val="286"/>
        </w:trPr>
        <w:tc>
          <w:tcPr>
            <w:tcW w:w="11493" w:type="dxa"/>
            <w:tcBorders>
              <w:top w:val="single" w:sz="4" w:space="0" w:color="auto"/>
              <w:left w:val="single" w:sz="4" w:space="0" w:color="auto"/>
              <w:bottom w:val="single" w:sz="4" w:space="0" w:color="auto"/>
              <w:right w:val="single" w:sz="4" w:space="0" w:color="auto"/>
            </w:tcBorders>
            <w:shd w:val="clear" w:color="auto" w:fill="FBD4B4"/>
            <w:vAlign w:val="bottom"/>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 xml:space="preserve">7. Chomutovské soukromé gymnázium, s.r.o. </w:t>
            </w:r>
          </w:p>
        </w:tc>
        <w:tc>
          <w:tcPr>
            <w:tcW w:w="2302" w:type="dxa"/>
            <w:tcBorders>
              <w:top w:val="single" w:sz="4" w:space="0" w:color="auto"/>
              <w:left w:val="single" w:sz="4" w:space="0" w:color="auto"/>
              <w:bottom w:val="single" w:sz="4" w:space="0" w:color="auto"/>
              <w:right w:val="single" w:sz="4" w:space="0" w:color="auto"/>
            </w:tcBorders>
            <w:shd w:val="clear" w:color="auto" w:fill="FBD4B4"/>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www.gymnaziumcv.cz</w:t>
            </w:r>
          </w:p>
        </w:tc>
      </w:tr>
      <w:tr w:rsidR="00A64035" w:rsidRPr="005209F8" w:rsidTr="0075074A">
        <w:trPr>
          <w:trHeight w:val="286"/>
        </w:trPr>
        <w:tc>
          <w:tcPr>
            <w:tcW w:w="11493" w:type="dxa"/>
            <w:tcBorders>
              <w:top w:val="single" w:sz="4" w:space="0" w:color="auto"/>
              <w:left w:val="single" w:sz="4" w:space="0" w:color="auto"/>
              <w:bottom w:val="single" w:sz="4" w:space="0" w:color="auto"/>
              <w:right w:val="single" w:sz="4" w:space="0" w:color="auto"/>
            </w:tcBorders>
            <w:shd w:val="clear" w:color="auto" w:fill="FBD4B4"/>
            <w:vAlign w:val="bottom"/>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1. Detašované pracoviště Chomutov Univerzity Jana Evangelisty Purkyně v Ústí nad Labem, Hoření 13</w:t>
            </w:r>
          </w:p>
        </w:tc>
        <w:tc>
          <w:tcPr>
            <w:tcW w:w="2302" w:type="dxa"/>
            <w:tcBorders>
              <w:top w:val="single" w:sz="4" w:space="0" w:color="auto"/>
              <w:left w:val="single" w:sz="4" w:space="0" w:color="auto"/>
              <w:bottom w:val="single" w:sz="4" w:space="0" w:color="auto"/>
              <w:right w:val="single" w:sz="4" w:space="0" w:color="auto"/>
            </w:tcBorders>
            <w:shd w:val="clear" w:color="auto" w:fill="FBD4B4"/>
          </w:tcPr>
          <w:p w:rsidR="00A64035" w:rsidRPr="005209F8" w:rsidRDefault="00A64035" w:rsidP="0075074A">
            <w:pPr>
              <w:spacing w:line="360" w:lineRule="auto"/>
              <w:rPr>
                <w:rFonts w:eastAsia="SimSun"/>
                <w:sz w:val="22"/>
                <w:szCs w:val="22"/>
                <w:lang w:eastAsia="zh-CN"/>
              </w:rPr>
            </w:pPr>
            <w:r w:rsidRPr="005209F8">
              <w:rPr>
                <w:rFonts w:eastAsia="SimSun"/>
                <w:sz w:val="22"/>
                <w:szCs w:val="22"/>
                <w:lang w:eastAsia="zh-CN"/>
              </w:rPr>
              <w:t>www.ujep.cz</w:t>
            </w:r>
          </w:p>
        </w:tc>
      </w:tr>
      <w:tr w:rsidR="00A64035" w:rsidRPr="005209F8" w:rsidTr="0075074A">
        <w:trPr>
          <w:trHeight w:val="286"/>
        </w:trPr>
        <w:tc>
          <w:tcPr>
            <w:tcW w:w="11493" w:type="dxa"/>
            <w:tcBorders>
              <w:top w:val="single" w:sz="4" w:space="0" w:color="auto"/>
              <w:left w:val="single" w:sz="4" w:space="0" w:color="auto"/>
              <w:bottom w:val="single" w:sz="4" w:space="0" w:color="auto"/>
              <w:right w:val="single" w:sz="4" w:space="0" w:color="auto"/>
            </w:tcBorders>
            <w:shd w:val="clear" w:color="auto" w:fill="FBD4B4"/>
            <w:vAlign w:val="bottom"/>
          </w:tcPr>
          <w:p w:rsidR="00A64035" w:rsidRPr="005209F8" w:rsidRDefault="00A64035" w:rsidP="0075074A">
            <w:pPr>
              <w:rPr>
                <w:rFonts w:eastAsia="SimSun"/>
                <w:sz w:val="22"/>
                <w:szCs w:val="22"/>
                <w:lang w:eastAsia="zh-CN"/>
              </w:rPr>
            </w:pPr>
            <w:r w:rsidRPr="005209F8">
              <w:rPr>
                <w:rFonts w:eastAsia="SimSun"/>
                <w:sz w:val="22"/>
                <w:szCs w:val="22"/>
                <w:lang w:eastAsia="zh-CN"/>
              </w:rPr>
              <w:t>2. Detašované pracoviště Chomutov Českého vysokého učení technického v Praze, fakulta strojní, Technická 4, Praha 6 Dejvice</w:t>
            </w:r>
          </w:p>
        </w:tc>
        <w:tc>
          <w:tcPr>
            <w:tcW w:w="2302" w:type="dxa"/>
            <w:tcBorders>
              <w:top w:val="single" w:sz="4" w:space="0" w:color="auto"/>
              <w:left w:val="single" w:sz="4" w:space="0" w:color="auto"/>
              <w:bottom w:val="single" w:sz="4" w:space="0" w:color="auto"/>
              <w:right w:val="single" w:sz="4" w:space="0" w:color="auto"/>
            </w:tcBorders>
            <w:shd w:val="clear" w:color="auto" w:fill="FBD4B4"/>
          </w:tcPr>
          <w:p w:rsidR="00A64035" w:rsidRPr="005209F8" w:rsidRDefault="00A64035" w:rsidP="0075074A">
            <w:pPr>
              <w:rPr>
                <w:rFonts w:eastAsia="SimSun"/>
                <w:sz w:val="22"/>
                <w:szCs w:val="22"/>
                <w:lang w:eastAsia="zh-CN"/>
              </w:rPr>
            </w:pPr>
            <w:r w:rsidRPr="005209F8">
              <w:rPr>
                <w:rFonts w:eastAsia="SimSun"/>
                <w:sz w:val="22"/>
                <w:szCs w:val="22"/>
                <w:lang w:eastAsia="zh-CN"/>
              </w:rPr>
              <w:t>www.cvut.cz</w:t>
            </w:r>
          </w:p>
        </w:tc>
      </w:tr>
    </w:tbl>
    <w:p w:rsidR="00A64035" w:rsidRPr="005209F8" w:rsidRDefault="00A64035" w:rsidP="00A64035">
      <w:pPr>
        <w:jc w:val="both"/>
        <w:rPr>
          <w:sz w:val="22"/>
          <w:szCs w:val="22"/>
        </w:rPr>
      </w:pPr>
      <w:r w:rsidRPr="005209F8">
        <w:rPr>
          <w:sz w:val="22"/>
          <w:szCs w:val="22"/>
        </w:rPr>
        <w:t xml:space="preserve">Poznámka: Od </w:t>
      </w:r>
      <w:proofErr w:type="gramStart"/>
      <w:r w:rsidRPr="005209F8">
        <w:rPr>
          <w:sz w:val="22"/>
          <w:szCs w:val="22"/>
        </w:rPr>
        <w:t>01.09.2012</w:t>
      </w:r>
      <w:proofErr w:type="gramEnd"/>
      <w:r w:rsidRPr="005209F8">
        <w:rPr>
          <w:sz w:val="22"/>
          <w:szCs w:val="22"/>
        </w:rPr>
        <w:t xml:space="preserve"> budou sloučeny organizace 3., 4.  se začleněním Obchodní akademie do jedné příspěvkové organizace. Dále budou sloučeny organizace 5., 6. vyjma Obchodní akademie do jedné příspěvkové organizace</w:t>
      </w:r>
    </w:p>
    <w:p w:rsidR="00A64035" w:rsidRDefault="00A64035" w:rsidP="00A64035">
      <w:pPr>
        <w:jc w:val="both"/>
        <w:rPr>
          <w:i/>
        </w:rPr>
      </w:pPr>
    </w:p>
    <w:p w:rsidR="00A64035" w:rsidRDefault="00A64035" w:rsidP="00A64035">
      <w:pPr>
        <w:jc w:val="both"/>
        <w:rPr>
          <w:i/>
        </w:rPr>
      </w:pPr>
    </w:p>
    <w:p w:rsidR="00A64035" w:rsidRDefault="00A64035" w:rsidP="00A64035">
      <w:pPr>
        <w:jc w:val="both"/>
        <w:rPr>
          <w:i/>
        </w:rPr>
      </w:pPr>
    </w:p>
    <w:p w:rsidR="00A64035" w:rsidRDefault="00A64035" w:rsidP="00A64035">
      <w:pPr>
        <w:jc w:val="both"/>
        <w:rPr>
          <w:i/>
        </w:rPr>
      </w:pPr>
    </w:p>
    <w:p w:rsidR="00A64035" w:rsidRDefault="00A64035" w:rsidP="00A64035">
      <w:pPr>
        <w:jc w:val="both"/>
        <w:rPr>
          <w:i/>
        </w:rPr>
      </w:pPr>
    </w:p>
    <w:p w:rsidR="00A64035" w:rsidRDefault="00A64035" w:rsidP="00A64035">
      <w:pPr>
        <w:jc w:val="both"/>
        <w:rPr>
          <w:i/>
        </w:rPr>
      </w:pPr>
    </w:p>
    <w:p w:rsidR="00A64035" w:rsidRDefault="00A64035" w:rsidP="00A64035">
      <w:pPr>
        <w:jc w:val="both"/>
        <w:rPr>
          <w:i/>
        </w:rPr>
      </w:pPr>
    </w:p>
    <w:p w:rsidR="00A64035" w:rsidRDefault="00A64035" w:rsidP="00A64035">
      <w:pPr>
        <w:jc w:val="both"/>
        <w:rPr>
          <w:i/>
        </w:rPr>
      </w:pPr>
    </w:p>
    <w:p w:rsidR="00A64035" w:rsidRDefault="00A64035" w:rsidP="00A64035">
      <w:pPr>
        <w:jc w:val="both"/>
        <w:rPr>
          <w:i/>
        </w:rPr>
      </w:pPr>
    </w:p>
    <w:p w:rsidR="00A64035" w:rsidRDefault="00A64035" w:rsidP="00A64035">
      <w:pPr>
        <w:jc w:val="both"/>
        <w:rPr>
          <w:i/>
        </w:rPr>
      </w:pPr>
    </w:p>
    <w:p w:rsidR="00A64035" w:rsidRDefault="00A64035" w:rsidP="00A64035">
      <w:pPr>
        <w:jc w:val="both"/>
        <w:rPr>
          <w:i/>
        </w:rPr>
      </w:pPr>
    </w:p>
    <w:p w:rsidR="00A64035" w:rsidRPr="005209F8" w:rsidRDefault="00A64035" w:rsidP="00A64035">
      <w:pPr>
        <w:jc w:val="both"/>
        <w:rPr>
          <w:i/>
          <w:sz w:val="22"/>
          <w:szCs w:val="22"/>
        </w:rPr>
      </w:pPr>
      <w:r w:rsidRPr="005209F8">
        <w:rPr>
          <w:i/>
          <w:sz w:val="22"/>
          <w:szCs w:val="22"/>
        </w:rPr>
        <w:t>Příloha č. 9. Predikce vývoje</w:t>
      </w:r>
    </w:p>
    <w:p w:rsidR="00A64035" w:rsidRPr="00B87759" w:rsidRDefault="00A64035" w:rsidP="00A64035">
      <w:pPr>
        <w:jc w:val="both"/>
        <w:rPr>
          <w:i/>
        </w:rPr>
      </w:pPr>
    </w:p>
    <w:p w:rsidR="00A64035" w:rsidRPr="005209F8" w:rsidRDefault="00A64035" w:rsidP="00A64035">
      <w:pPr>
        <w:jc w:val="both"/>
        <w:rPr>
          <w:b/>
          <w:bCs/>
          <w:sz w:val="22"/>
          <w:szCs w:val="22"/>
        </w:rPr>
      </w:pPr>
      <w:r w:rsidRPr="005209F8">
        <w:rPr>
          <w:b/>
          <w:bCs/>
          <w:sz w:val="22"/>
          <w:szCs w:val="22"/>
        </w:rPr>
        <w:t>Predikce vývoje počtu dětí, žáků a studentů v soustavě školství na území Ústeckého kraje (školy bez rozdílu zřizovatele)</w:t>
      </w:r>
    </w:p>
    <w:tbl>
      <w:tblPr>
        <w:tblW w:w="14250" w:type="dxa"/>
        <w:tblInd w:w="40" w:type="dxa"/>
        <w:tblLayout w:type="fixed"/>
        <w:tblCellMar>
          <w:left w:w="70" w:type="dxa"/>
          <w:right w:w="70" w:type="dxa"/>
        </w:tblCellMar>
        <w:tblLook w:val="0000" w:firstRow="0" w:lastRow="0" w:firstColumn="0" w:lastColumn="0" w:noHBand="0" w:noVBand="0"/>
      </w:tblPr>
      <w:tblGrid>
        <w:gridCol w:w="2730"/>
        <w:gridCol w:w="886"/>
        <w:gridCol w:w="886"/>
        <w:gridCol w:w="886"/>
        <w:gridCol w:w="886"/>
        <w:gridCol w:w="886"/>
        <w:gridCol w:w="886"/>
        <w:gridCol w:w="887"/>
        <w:gridCol w:w="886"/>
        <w:gridCol w:w="886"/>
        <w:gridCol w:w="886"/>
        <w:gridCol w:w="886"/>
        <w:gridCol w:w="886"/>
        <w:gridCol w:w="887"/>
      </w:tblGrid>
      <w:tr w:rsidR="00A64035" w:rsidRPr="005F52F7" w:rsidTr="0075074A">
        <w:trPr>
          <w:trHeight w:val="247"/>
        </w:trPr>
        <w:tc>
          <w:tcPr>
            <w:tcW w:w="2730" w:type="dxa"/>
            <w:tcBorders>
              <w:top w:val="single" w:sz="12" w:space="0" w:color="auto"/>
              <w:left w:val="single" w:sz="12" w:space="0" w:color="auto"/>
              <w:bottom w:val="nil"/>
              <w:right w:val="single" w:sz="12" w:space="0" w:color="auto"/>
            </w:tcBorders>
          </w:tcPr>
          <w:p w:rsidR="00A64035" w:rsidRPr="005F52F7" w:rsidRDefault="00A64035" w:rsidP="0075074A">
            <w:pPr>
              <w:autoSpaceDE w:val="0"/>
              <w:autoSpaceDN w:val="0"/>
              <w:adjustRightInd w:val="0"/>
              <w:jc w:val="right"/>
              <w:rPr>
                <w:color w:val="000000"/>
                <w:sz w:val="20"/>
                <w:szCs w:val="12"/>
              </w:rPr>
            </w:pPr>
          </w:p>
        </w:tc>
        <w:tc>
          <w:tcPr>
            <w:tcW w:w="11520" w:type="dxa"/>
            <w:gridSpan w:val="13"/>
            <w:tcBorders>
              <w:top w:val="single" w:sz="12" w:space="0" w:color="auto"/>
              <w:left w:val="single" w:sz="12" w:space="0" w:color="auto"/>
              <w:bottom w:val="single" w:sz="6" w:space="0" w:color="auto"/>
              <w:right w:val="single" w:sz="12"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Skutečnost</w:t>
            </w:r>
            <w:r>
              <w:rPr>
                <w:color w:val="000000"/>
                <w:sz w:val="20"/>
                <w:szCs w:val="12"/>
              </w:rPr>
              <w:t>/</w:t>
            </w:r>
            <w:r w:rsidRPr="005F52F7">
              <w:rPr>
                <w:color w:val="000000"/>
                <w:sz w:val="20"/>
                <w:szCs w:val="12"/>
              </w:rPr>
              <w:t>výhled</w:t>
            </w:r>
          </w:p>
        </w:tc>
      </w:tr>
      <w:tr w:rsidR="00A64035" w:rsidRPr="005F52F7" w:rsidTr="0075074A">
        <w:trPr>
          <w:trHeight w:val="262"/>
        </w:trPr>
        <w:tc>
          <w:tcPr>
            <w:tcW w:w="2730" w:type="dxa"/>
            <w:tcBorders>
              <w:top w:val="nil"/>
              <w:left w:val="single" w:sz="12" w:space="0" w:color="auto"/>
              <w:bottom w:val="single" w:sz="12" w:space="0" w:color="auto"/>
              <w:right w:val="single" w:sz="12" w:space="0" w:color="auto"/>
            </w:tcBorders>
          </w:tcPr>
          <w:p w:rsidR="00A64035" w:rsidRPr="005F52F7" w:rsidRDefault="00A64035" w:rsidP="0075074A">
            <w:pPr>
              <w:autoSpaceDE w:val="0"/>
              <w:autoSpaceDN w:val="0"/>
              <w:adjustRightInd w:val="0"/>
              <w:jc w:val="right"/>
              <w:rPr>
                <w:color w:val="000000"/>
                <w:sz w:val="20"/>
                <w:szCs w:val="12"/>
              </w:rPr>
            </w:pPr>
          </w:p>
        </w:tc>
        <w:tc>
          <w:tcPr>
            <w:tcW w:w="886" w:type="dxa"/>
            <w:tcBorders>
              <w:top w:val="single" w:sz="6" w:space="0" w:color="auto"/>
              <w:left w:val="single" w:sz="12"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2002/03</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2003/04</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2004/05</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2005/06</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2006/07</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2007/08</w:t>
            </w:r>
          </w:p>
        </w:tc>
        <w:tc>
          <w:tcPr>
            <w:tcW w:w="887"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2008/09</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2009/10</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2010/11</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2011/12</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2012/13</w:t>
            </w:r>
          </w:p>
        </w:tc>
        <w:tc>
          <w:tcPr>
            <w:tcW w:w="886" w:type="dxa"/>
            <w:tcBorders>
              <w:top w:val="single" w:sz="6" w:space="0" w:color="auto"/>
              <w:left w:val="single" w:sz="6" w:space="0" w:color="auto"/>
              <w:bottom w:val="single" w:sz="12" w:space="0" w:color="auto"/>
              <w:right w:val="single" w:sz="6"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2013/14</w:t>
            </w:r>
          </w:p>
        </w:tc>
        <w:tc>
          <w:tcPr>
            <w:tcW w:w="887" w:type="dxa"/>
            <w:tcBorders>
              <w:top w:val="single" w:sz="6" w:space="0" w:color="auto"/>
              <w:left w:val="single" w:sz="6" w:space="0" w:color="auto"/>
              <w:bottom w:val="single" w:sz="12" w:space="0" w:color="auto"/>
              <w:right w:val="single" w:sz="12" w:space="0" w:color="auto"/>
            </w:tcBorders>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2014/15</w:t>
            </w:r>
          </w:p>
          <w:p w:rsidR="00A64035" w:rsidRPr="005F52F7" w:rsidRDefault="00A64035" w:rsidP="0075074A">
            <w:pPr>
              <w:jc w:val="center"/>
              <w:rPr>
                <w:sz w:val="20"/>
                <w:szCs w:val="12"/>
              </w:rPr>
            </w:pPr>
          </w:p>
        </w:tc>
      </w:tr>
      <w:tr w:rsidR="00A64035" w:rsidRPr="005F52F7" w:rsidTr="0075074A">
        <w:trPr>
          <w:trHeight w:val="247"/>
        </w:trPr>
        <w:tc>
          <w:tcPr>
            <w:tcW w:w="2730" w:type="dxa"/>
            <w:tcBorders>
              <w:top w:val="single" w:sz="12" w:space="0" w:color="auto"/>
              <w:left w:val="single" w:sz="12" w:space="0" w:color="auto"/>
              <w:bottom w:val="single" w:sz="6" w:space="0" w:color="auto"/>
              <w:right w:val="single" w:sz="12" w:space="0" w:color="auto"/>
            </w:tcBorders>
            <w:shd w:val="solid" w:color="CCFFFF" w:fill="auto"/>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počet dětí navštěvujících MŠ *</w:t>
            </w:r>
          </w:p>
        </w:tc>
        <w:tc>
          <w:tcPr>
            <w:tcW w:w="886" w:type="dxa"/>
            <w:tcBorders>
              <w:top w:val="single" w:sz="12" w:space="0" w:color="auto"/>
              <w:left w:val="single" w:sz="12"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22 923</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22 814</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22 619</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22 250</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22 549</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22 900</w:t>
            </w:r>
          </w:p>
        </w:tc>
        <w:tc>
          <w:tcPr>
            <w:tcW w:w="887"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23 509</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24 650</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25 691</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26 857</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28 041</w:t>
            </w:r>
          </w:p>
        </w:tc>
        <w:tc>
          <w:tcPr>
            <w:tcW w:w="886" w:type="dxa"/>
            <w:tcBorders>
              <w:top w:val="single" w:sz="12" w:space="0" w:color="auto"/>
              <w:left w:val="single" w:sz="6" w:space="0" w:color="auto"/>
              <w:bottom w:val="single" w:sz="6" w:space="0" w:color="auto"/>
              <w:right w:val="single" w:sz="6"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28 868</w:t>
            </w:r>
          </w:p>
        </w:tc>
        <w:tc>
          <w:tcPr>
            <w:tcW w:w="887" w:type="dxa"/>
            <w:tcBorders>
              <w:top w:val="single" w:sz="12" w:space="0" w:color="auto"/>
              <w:left w:val="single" w:sz="6" w:space="0" w:color="auto"/>
              <w:bottom w:val="single" w:sz="6" w:space="0" w:color="auto"/>
              <w:right w:val="single" w:sz="12" w:space="0" w:color="auto"/>
            </w:tcBorders>
            <w:shd w:val="solid" w:color="CCFFFF"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29 395</w:t>
            </w: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počet osob ve věkové skupině 2 - 5 let v populaci</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30 793</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31 217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31 763</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32 498</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33 151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33 958</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34 641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35 932</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37 450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39 150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40 875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42 082</w:t>
            </w:r>
          </w:p>
        </w:tc>
        <w:tc>
          <w:tcPr>
            <w:tcW w:w="887" w:type="dxa"/>
            <w:tcBorders>
              <w:top w:val="single" w:sz="6" w:space="0" w:color="auto"/>
              <w:left w:val="single" w:sz="6"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42 850</w:t>
            </w: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míra účasti dané věkové skupiny ve vzdělávání</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74,4%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73,1%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71,2%</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68,5%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68,0%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67,4%</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67,9%</w:t>
            </w:r>
          </w:p>
        </w:tc>
        <w:tc>
          <w:tcPr>
            <w:tcW w:w="886" w:type="dxa"/>
            <w:tcBorders>
              <w:top w:val="single" w:sz="6" w:space="0" w:color="auto"/>
              <w:left w:val="single" w:sz="6" w:space="0" w:color="auto"/>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68,6%</w:t>
            </w: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7" w:type="dxa"/>
            <w:tcBorders>
              <w:top w:val="single" w:sz="6" w:space="0" w:color="auto"/>
              <w:left w:val="nil"/>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meziroční přírůstek (v%)</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1,3</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1,6</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4,2</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3,0</w:t>
            </w:r>
          </w:p>
        </w:tc>
        <w:tc>
          <w:tcPr>
            <w:tcW w:w="887" w:type="dxa"/>
            <w:tcBorders>
              <w:top w:val="single" w:sz="6" w:space="0" w:color="auto"/>
              <w:left w:val="single" w:sz="6"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1,8</w:t>
            </w:r>
          </w:p>
        </w:tc>
      </w:tr>
      <w:tr w:rsidR="00A64035" w:rsidRPr="005F52F7" w:rsidTr="0075074A">
        <w:trPr>
          <w:trHeight w:val="262"/>
        </w:trPr>
        <w:tc>
          <w:tcPr>
            <w:tcW w:w="2730" w:type="dxa"/>
            <w:tcBorders>
              <w:top w:val="single" w:sz="6" w:space="0" w:color="auto"/>
              <w:left w:val="single" w:sz="12"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 xml:space="preserve">přírůstek vůči </w:t>
            </w:r>
            <w:proofErr w:type="spellStart"/>
            <w:r w:rsidRPr="005F52F7">
              <w:rPr>
                <w:color w:val="000000"/>
                <w:sz w:val="20"/>
                <w:szCs w:val="14"/>
              </w:rPr>
              <w:t>šk</w:t>
            </w:r>
            <w:proofErr w:type="spellEnd"/>
            <w:r w:rsidRPr="005F52F7">
              <w:rPr>
                <w:color w:val="000000"/>
                <w:sz w:val="20"/>
                <w:szCs w:val="14"/>
              </w:rPr>
              <w:t>. roku 2006/07 (v%)</w:t>
            </w:r>
          </w:p>
        </w:tc>
        <w:tc>
          <w:tcPr>
            <w:tcW w:w="886" w:type="dxa"/>
            <w:tcBorders>
              <w:top w:val="single" w:sz="6" w:space="0" w:color="auto"/>
              <w:left w:val="single" w:sz="12"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1,7</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1,2</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0,3</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-1,3</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1,6</w:t>
            </w:r>
          </w:p>
        </w:tc>
        <w:tc>
          <w:tcPr>
            <w:tcW w:w="887"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4,3</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9,3</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13,9</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19,1</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24,4</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28,0</w:t>
            </w:r>
          </w:p>
        </w:tc>
        <w:tc>
          <w:tcPr>
            <w:tcW w:w="887" w:type="dxa"/>
            <w:tcBorders>
              <w:top w:val="single" w:sz="6" w:space="0" w:color="auto"/>
              <w:left w:val="single" w:sz="6"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30,4</w:t>
            </w:r>
          </w:p>
        </w:tc>
      </w:tr>
      <w:tr w:rsidR="00A64035" w:rsidRPr="005F52F7" w:rsidTr="0075074A">
        <w:trPr>
          <w:trHeight w:val="247"/>
        </w:trPr>
        <w:tc>
          <w:tcPr>
            <w:tcW w:w="2730" w:type="dxa"/>
            <w:tcBorders>
              <w:top w:val="single" w:sz="12" w:space="0" w:color="auto"/>
              <w:left w:val="single" w:sz="12" w:space="0" w:color="auto"/>
              <w:bottom w:val="single" w:sz="6" w:space="0" w:color="auto"/>
              <w:right w:val="single" w:sz="12" w:space="0" w:color="auto"/>
            </w:tcBorders>
            <w:shd w:val="solid" w:color="FFFF99" w:fill="auto"/>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počet žáků navštěvujících ZŠ **</w:t>
            </w:r>
          </w:p>
        </w:tc>
        <w:tc>
          <w:tcPr>
            <w:tcW w:w="886" w:type="dxa"/>
            <w:tcBorders>
              <w:top w:val="single" w:sz="12" w:space="0" w:color="auto"/>
              <w:left w:val="single" w:sz="12"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86 687</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84 160</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81 585</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78 438</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75 438</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73 111</w:t>
            </w:r>
          </w:p>
        </w:tc>
        <w:tc>
          <w:tcPr>
            <w:tcW w:w="887"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70 500</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70 601</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71 050</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72 122</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73 391</w:t>
            </w:r>
          </w:p>
        </w:tc>
        <w:tc>
          <w:tcPr>
            <w:tcW w:w="886" w:type="dxa"/>
            <w:tcBorders>
              <w:top w:val="single" w:sz="12" w:space="0" w:color="auto"/>
              <w:left w:val="single" w:sz="6" w:space="0" w:color="auto"/>
              <w:bottom w:val="single" w:sz="6" w:space="0" w:color="auto"/>
              <w:right w:val="single" w:sz="6"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75 265</w:t>
            </w:r>
          </w:p>
        </w:tc>
        <w:tc>
          <w:tcPr>
            <w:tcW w:w="887" w:type="dxa"/>
            <w:tcBorders>
              <w:top w:val="single" w:sz="12" w:space="0" w:color="auto"/>
              <w:left w:val="single" w:sz="6" w:space="0" w:color="auto"/>
              <w:bottom w:val="single" w:sz="6" w:space="0" w:color="auto"/>
              <w:right w:val="single" w:sz="12" w:space="0" w:color="auto"/>
            </w:tcBorders>
            <w:shd w:val="solid" w:color="FFFF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77 746</w:t>
            </w: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počet osob ve věkové skupině 6 - 14 let v populaci</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87 630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84 679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82 181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79 291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76 637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74 633</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72 509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71 749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72 206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73 295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74 584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76 489</w:t>
            </w:r>
          </w:p>
        </w:tc>
        <w:tc>
          <w:tcPr>
            <w:tcW w:w="887" w:type="dxa"/>
            <w:tcBorders>
              <w:top w:val="single" w:sz="6" w:space="0" w:color="auto"/>
              <w:left w:val="single" w:sz="6"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79 010</w:t>
            </w: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míra účasti dané věkové skupiny ve vzdělávání</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99,4%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99,3%</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98,0%</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97,2%</w:t>
            </w:r>
          </w:p>
        </w:tc>
        <w:tc>
          <w:tcPr>
            <w:tcW w:w="886" w:type="dxa"/>
            <w:tcBorders>
              <w:top w:val="single" w:sz="6" w:space="0" w:color="auto"/>
              <w:left w:val="single" w:sz="6" w:space="0" w:color="auto"/>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98,4%</w:t>
            </w: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7" w:type="dxa"/>
            <w:tcBorders>
              <w:top w:val="single" w:sz="6" w:space="0" w:color="auto"/>
              <w:left w:val="nil"/>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meziroční přírůstek (v%)</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-3,8</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1,8</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2,6</w:t>
            </w:r>
          </w:p>
        </w:tc>
        <w:tc>
          <w:tcPr>
            <w:tcW w:w="887" w:type="dxa"/>
            <w:tcBorders>
              <w:top w:val="single" w:sz="6" w:space="0" w:color="auto"/>
              <w:left w:val="single" w:sz="6"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w:t>
            </w:r>
          </w:p>
        </w:tc>
      </w:tr>
      <w:tr w:rsidR="00A64035" w:rsidRPr="005F52F7" w:rsidTr="0075074A">
        <w:trPr>
          <w:trHeight w:val="262"/>
        </w:trPr>
        <w:tc>
          <w:tcPr>
            <w:tcW w:w="2730" w:type="dxa"/>
            <w:tcBorders>
              <w:top w:val="single" w:sz="6" w:space="0" w:color="auto"/>
              <w:left w:val="single" w:sz="12"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 xml:space="preserve">přírůstek vůči </w:t>
            </w:r>
            <w:proofErr w:type="spellStart"/>
            <w:r w:rsidRPr="005F52F7">
              <w:rPr>
                <w:color w:val="000000"/>
                <w:sz w:val="20"/>
                <w:szCs w:val="14"/>
              </w:rPr>
              <w:t>šk</w:t>
            </w:r>
            <w:proofErr w:type="spellEnd"/>
            <w:r w:rsidRPr="005F52F7">
              <w:rPr>
                <w:color w:val="000000"/>
                <w:sz w:val="20"/>
                <w:szCs w:val="14"/>
              </w:rPr>
              <w:t>. roku 2006/07 (v%)</w:t>
            </w:r>
          </w:p>
        </w:tc>
        <w:tc>
          <w:tcPr>
            <w:tcW w:w="886" w:type="dxa"/>
            <w:tcBorders>
              <w:top w:val="single" w:sz="6" w:space="0" w:color="auto"/>
              <w:left w:val="single" w:sz="12"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14,9</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11,6</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8,1</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4,0</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w:t>
            </w:r>
          </w:p>
        </w:tc>
        <w:tc>
          <w:tcPr>
            <w:tcW w:w="887"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-6,5</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-6,4</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-5,8</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-4,4</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-2,7</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-0,2</w:t>
            </w:r>
          </w:p>
        </w:tc>
        <w:tc>
          <w:tcPr>
            <w:tcW w:w="887" w:type="dxa"/>
            <w:tcBorders>
              <w:top w:val="single" w:sz="6" w:space="0" w:color="auto"/>
              <w:left w:val="single" w:sz="6"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w:t>
            </w:r>
          </w:p>
        </w:tc>
      </w:tr>
      <w:tr w:rsidR="00A64035" w:rsidRPr="005F52F7" w:rsidTr="0075074A">
        <w:trPr>
          <w:trHeight w:val="247"/>
        </w:trPr>
        <w:tc>
          <w:tcPr>
            <w:tcW w:w="2730" w:type="dxa"/>
            <w:tcBorders>
              <w:top w:val="single" w:sz="12" w:space="0" w:color="auto"/>
              <w:left w:val="single" w:sz="12" w:space="0" w:color="auto"/>
              <w:bottom w:val="single" w:sz="6" w:space="0" w:color="auto"/>
              <w:right w:val="single" w:sz="12" w:space="0" w:color="auto"/>
            </w:tcBorders>
            <w:shd w:val="solid" w:color="CCFFCC" w:fill="auto"/>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počet žáků navštěvujících SŠ ***</w:t>
            </w:r>
          </w:p>
        </w:tc>
        <w:tc>
          <w:tcPr>
            <w:tcW w:w="886" w:type="dxa"/>
            <w:tcBorders>
              <w:top w:val="single" w:sz="12" w:space="0" w:color="auto"/>
              <w:left w:val="single" w:sz="12"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42 220</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42 509</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42 516</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42 292</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42 111</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41 619</w:t>
            </w:r>
          </w:p>
        </w:tc>
        <w:tc>
          <w:tcPr>
            <w:tcW w:w="887"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41 346</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39 987</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37 579</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35 158</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32 463</w:t>
            </w:r>
          </w:p>
        </w:tc>
        <w:tc>
          <w:tcPr>
            <w:tcW w:w="886" w:type="dxa"/>
            <w:tcBorders>
              <w:top w:val="single" w:sz="12" w:space="0" w:color="auto"/>
              <w:left w:val="single" w:sz="6" w:space="0" w:color="auto"/>
              <w:bottom w:val="single" w:sz="6" w:space="0" w:color="auto"/>
              <w:right w:val="single" w:sz="6"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31 109</w:t>
            </w:r>
          </w:p>
        </w:tc>
        <w:tc>
          <w:tcPr>
            <w:tcW w:w="887" w:type="dxa"/>
            <w:tcBorders>
              <w:top w:val="single" w:sz="12" w:space="0" w:color="auto"/>
              <w:left w:val="single" w:sz="6" w:space="0" w:color="auto"/>
              <w:bottom w:val="single" w:sz="6" w:space="0" w:color="auto"/>
              <w:right w:val="single" w:sz="12" w:space="0" w:color="auto"/>
            </w:tcBorders>
            <w:shd w:val="solid" w:color="CCFFCC"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30 577</w:t>
            </w: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počet osob ve věkové skupině 15 - 18 let v populaci</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43 849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43 950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43 397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42 936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42 713</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42 026</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41 987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40 596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38 151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35 694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32 957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31 583</w:t>
            </w:r>
          </w:p>
        </w:tc>
        <w:tc>
          <w:tcPr>
            <w:tcW w:w="887" w:type="dxa"/>
            <w:tcBorders>
              <w:top w:val="single" w:sz="6" w:space="0" w:color="auto"/>
              <w:left w:val="single" w:sz="6"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31 042</w:t>
            </w: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míra účasti dané věkové skupiny ve vzdělávání</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96,3%</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96,7%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99,0%</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98,5%</w:t>
            </w:r>
          </w:p>
        </w:tc>
        <w:tc>
          <w:tcPr>
            <w:tcW w:w="886" w:type="dxa"/>
            <w:tcBorders>
              <w:top w:val="single" w:sz="6" w:space="0" w:color="auto"/>
              <w:left w:val="single" w:sz="6" w:space="0" w:color="auto"/>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98,5%</w:t>
            </w: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7" w:type="dxa"/>
            <w:tcBorders>
              <w:top w:val="single" w:sz="6" w:space="0" w:color="auto"/>
              <w:left w:val="nil"/>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meziroční přírůstek (v%)</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-1,2</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-4,2</w:t>
            </w:r>
          </w:p>
        </w:tc>
        <w:tc>
          <w:tcPr>
            <w:tcW w:w="887" w:type="dxa"/>
            <w:tcBorders>
              <w:top w:val="single" w:sz="6" w:space="0" w:color="auto"/>
              <w:left w:val="single" w:sz="6"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-1,7</w:t>
            </w:r>
          </w:p>
        </w:tc>
      </w:tr>
      <w:tr w:rsidR="00A64035" w:rsidRPr="005F52F7" w:rsidTr="0075074A">
        <w:trPr>
          <w:trHeight w:val="262"/>
        </w:trPr>
        <w:tc>
          <w:tcPr>
            <w:tcW w:w="2730" w:type="dxa"/>
            <w:tcBorders>
              <w:top w:val="single" w:sz="6" w:space="0" w:color="auto"/>
              <w:left w:val="single" w:sz="12"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 xml:space="preserve">přírůstek vůči </w:t>
            </w:r>
            <w:proofErr w:type="spellStart"/>
            <w:r w:rsidRPr="005F52F7">
              <w:rPr>
                <w:color w:val="000000"/>
                <w:sz w:val="20"/>
                <w:szCs w:val="14"/>
              </w:rPr>
              <w:t>šk</w:t>
            </w:r>
            <w:proofErr w:type="spellEnd"/>
            <w:r w:rsidRPr="005F52F7">
              <w:rPr>
                <w:color w:val="000000"/>
                <w:sz w:val="20"/>
                <w:szCs w:val="14"/>
              </w:rPr>
              <w:t>. roku 2006/07 (v%)</w:t>
            </w:r>
          </w:p>
        </w:tc>
        <w:tc>
          <w:tcPr>
            <w:tcW w:w="886" w:type="dxa"/>
            <w:tcBorders>
              <w:top w:val="single" w:sz="6" w:space="0" w:color="auto"/>
              <w:left w:val="single" w:sz="12"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0,3</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0,9</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1,0</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0,4</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-1,2</w:t>
            </w:r>
          </w:p>
        </w:tc>
        <w:tc>
          <w:tcPr>
            <w:tcW w:w="887"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-1,8</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-5,0</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-10,8</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-16,5</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-22,9</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-26,1</w:t>
            </w:r>
          </w:p>
        </w:tc>
        <w:tc>
          <w:tcPr>
            <w:tcW w:w="887" w:type="dxa"/>
            <w:tcBorders>
              <w:top w:val="single" w:sz="6" w:space="0" w:color="auto"/>
              <w:left w:val="single" w:sz="6"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-27,4</w:t>
            </w:r>
          </w:p>
        </w:tc>
      </w:tr>
      <w:tr w:rsidR="00A64035" w:rsidRPr="005F52F7" w:rsidTr="0075074A">
        <w:trPr>
          <w:trHeight w:val="247"/>
        </w:trPr>
        <w:tc>
          <w:tcPr>
            <w:tcW w:w="2730" w:type="dxa"/>
            <w:tcBorders>
              <w:top w:val="single" w:sz="12" w:space="0" w:color="auto"/>
              <w:left w:val="single" w:sz="12" w:space="0" w:color="auto"/>
              <w:bottom w:val="single" w:sz="6" w:space="0" w:color="auto"/>
              <w:right w:val="single" w:sz="12" w:space="0" w:color="auto"/>
            </w:tcBorders>
            <w:shd w:val="solid" w:color="FFCC99" w:fill="auto"/>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lastRenderedPageBreak/>
              <w:t>počet studentů navštěvujících VOŠ ****</w:t>
            </w:r>
          </w:p>
        </w:tc>
        <w:tc>
          <w:tcPr>
            <w:tcW w:w="886" w:type="dxa"/>
            <w:tcBorders>
              <w:top w:val="single" w:sz="12" w:space="0" w:color="auto"/>
              <w:left w:val="single" w:sz="12"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1 127</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1 379</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1 336</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1 341</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1 223</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1 232</w:t>
            </w:r>
          </w:p>
        </w:tc>
        <w:tc>
          <w:tcPr>
            <w:tcW w:w="887"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1 239</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1 270</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1 257</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1 246</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1 241</w:t>
            </w:r>
          </w:p>
        </w:tc>
        <w:tc>
          <w:tcPr>
            <w:tcW w:w="886" w:type="dxa"/>
            <w:tcBorders>
              <w:top w:val="single" w:sz="12" w:space="0" w:color="auto"/>
              <w:left w:val="single" w:sz="6" w:space="0" w:color="auto"/>
              <w:bottom w:val="single" w:sz="6" w:space="0" w:color="auto"/>
              <w:right w:val="single" w:sz="6"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1 184</w:t>
            </w:r>
          </w:p>
        </w:tc>
        <w:tc>
          <w:tcPr>
            <w:tcW w:w="887" w:type="dxa"/>
            <w:tcBorders>
              <w:top w:val="single" w:sz="12" w:space="0" w:color="auto"/>
              <w:left w:val="single" w:sz="6" w:space="0" w:color="auto"/>
              <w:bottom w:val="single" w:sz="6" w:space="0" w:color="auto"/>
              <w:right w:val="single" w:sz="12" w:space="0" w:color="auto"/>
            </w:tcBorders>
            <w:shd w:val="solid" w:color="FFCC99"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1 105</w:t>
            </w: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počet osob ve věkové skupině 19 - 21 let v populaci</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34 409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33 943</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33 527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33 362</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33 165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33 913</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33 612</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33 426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33 081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32 798</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32 645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31 146</w:t>
            </w:r>
          </w:p>
        </w:tc>
        <w:tc>
          <w:tcPr>
            <w:tcW w:w="887" w:type="dxa"/>
            <w:tcBorders>
              <w:top w:val="single" w:sz="6" w:space="0" w:color="auto"/>
              <w:left w:val="single" w:sz="6"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29 086</w:t>
            </w: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míra účasti dané věkové skupiny ve vzdělávání</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3,6%</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3,7%</w:t>
            </w:r>
          </w:p>
        </w:tc>
        <w:tc>
          <w:tcPr>
            <w:tcW w:w="886" w:type="dxa"/>
            <w:tcBorders>
              <w:top w:val="single" w:sz="6" w:space="0" w:color="auto"/>
              <w:left w:val="single" w:sz="6" w:space="0" w:color="auto"/>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3,8%</w:t>
            </w: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6" w:type="dxa"/>
            <w:tcBorders>
              <w:top w:val="single" w:sz="6" w:space="0" w:color="auto"/>
              <w:left w:val="nil"/>
              <w:bottom w:val="single" w:sz="6" w:space="0" w:color="auto"/>
              <w:right w:val="nil"/>
            </w:tcBorders>
            <w:vAlign w:val="center"/>
          </w:tcPr>
          <w:p w:rsidR="00A64035" w:rsidRPr="005F52F7" w:rsidRDefault="00A64035" w:rsidP="0075074A">
            <w:pPr>
              <w:autoSpaceDE w:val="0"/>
              <w:autoSpaceDN w:val="0"/>
              <w:adjustRightInd w:val="0"/>
              <w:jc w:val="center"/>
              <w:rPr>
                <w:color w:val="000000"/>
                <w:sz w:val="20"/>
                <w:szCs w:val="12"/>
              </w:rPr>
            </w:pPr>
          </w:p>
        </w:tc>
        <w:tc>
          <w:tcPr>
            <w:tcW w:w="887" w:type="dxa"/>
            <w:tcBorders>
              <w:top w:val="single" w:sz="6" w:space="0" w:color="auto"/>
              <w:left w:val="nil"/>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meziroční přírůstek (v%)</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22,4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-8,8</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0,7</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-1,0</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-4,6</w:t>
            </w:r>
          </w:p>
        </w:tc>
        <w:tc>
          <w:tcPr>
            <w:tcW w:w="887" w:type="dxa"/>
            <w:tcBorders>
              <w:top w:val="single" w:sz="6" w:space="0" w:color="auto"/>
              <w:left w:val="single" w:sz="6"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-6,6</w:t>
            </w:r>
          </w:p>
        </w:tc>
      </w:tr>
      <w:tr w:rsidR="00A64035" w:rsidRPr="005F52F7" w:rsidTr="0075074A">
        <w:trPr>
          <w:trHeight w:val="262"/>
        </w:trPr>
        <w:tc>
          <w:tcPr>
            <w:tcW w:w="2730" w:type="dxa"/>
            <w:tcBorders>
              <w:top w:val="single" w:sz="6" w:space="0" w:color="auto"/>
              <w:left w:val="single" w:sz="12"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 xml:space="preserve">přírůstek vůči </w:t>
            </w:r>
            <w:proofErr w:type="spellStart"/>
            <w:r w:rsidRPr="005F52F7">
              <w:rPr>
                <w:color w:val="000000"/>
                <w:sz w:val="20"/>
                <w:szCs w:val="14"/>
              </w:rPr>
              <w:t>šk</w:t>
            </w:r>
            <w:proofErr w:type="spellEnd"/>
            <w:r w:rsidRPr="005F52F7">
              <w:rPr>
                <w:color w:val="000000"/>
                <w:sz w:val="20"/>
                <w:szCs w:val="14"/>
              </w:rPr>
              <w:t>. roku 2006/07 (v%)</w:t>
            </w:r>
          </w:p>
        </w:tc>
        <w:tc>
          <w:tcPr>
            <w:tcW w:w="886" w:type="dxa"/>
            <w:tcBorders>
              <w:top w:val="single" w:sz="6" w:space="0" w:color="auto"/>
              <w:left w:val="single" w:sz="12"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-7,8</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12,8</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9,2</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9,6</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0,7</w:t>
            </w:r>
          </w:p>
        </w:tc>
        <w:tc>
          <w:tcPr>
            <w:tcW w:w="887"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1,3</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3,9</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2,8</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1,9</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1,4</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-3,2</w:t>
            </w:r>
          </w:p>
        </w:tc>
        <w:tc>
          <w:tcPr>
            <w:tcW w:w="887" w:type="dxa"/>
            <w:tcBorders>
              <w:top w:val="single" w:sz="6" w:space="0" w:color="auto"/>
              <w:left w:val="single" w:sz="6"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-9,6</w:t>
            </w:r>
          </w:p>
        </w:tc>
      </w:tr>
      <w:tr w:rsidR="00A64035" w:rsidRPr="005F52F7" w:rsidTr="0075074A">
        <w:trPr>
          <w:trHeight w:val="247"/>
        </w:trPr>
        <w:tc>
          <w:tcPr>
            <w:tcW w:w="2730" w:type="dxa"/>
            <w:tcBorders>
              <w:top w:val="single" w:sz="12" w:space="0" w:color="auto"/>
              <w:left w:val="single" w:sz="12" w:space="0" w:color="auto"/>
              <w:bottom w:val="single" w:sz="6" w:space="0" w:color="auto"/>
              <w:right w:val="single" w:sz="12" w:space="0" w:color="auto"/>
            </w:tcBorders>
            <w:shd w:val="solid" w:color="C0C0C0" w:fill="auto"/>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počet osob v systému celkem</w:t>
            </w:r>
          </w:p>
        </w:tc>
        <w:tc>
          <w:tcPr>
            <w:tcW w:w="886" w:type="dxa"/>
            <w:tcBorders>
              <w:top w:val="single" w:sz="12" w:space="0" w:color="auto"/>
              <w:left w:val="single" w:sz="12"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152 957</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150 862</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148 056</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144 321</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141 321</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138 862</w:t>
            </w:r>
          </w:p>
        </w:tc>
        <w:tc>
          <w:tcPr>
            <w:tcW w:w="887"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136 594</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136 507</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135 578</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135 383</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135 134</w:t>
            </w:r>
          </w:p>
        </w:tc>
        <w:tc>
          <w:tcPr>
            <w:tcW w:w="886" w:type="dxa"/>
            <w:tcBorders>
              <w:top w:val="single" w:sz="12" w:space="0" w:color="auto"/>
              <w:left w:val="single" w:sz="6" w:space="0" w:color="auto"/>
              <w:bottom w:val="single" w:sz="6" w:space="0" w:color="auto"/>
              <w:right w:val="single" w:sz="6"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136 426</w:t>
            </w:r>
          </w:p>
        </w:tc>
        <w:tc>
          <w:tcPr>
            <w:tcW w:w="887" w:type="dxa"/>
            <w:tcBorders>
              <w:top w:val="single" w:sz="12" w:space="0" w:color="auto"/>
              <w:left w:val="single" w:sz="6" w:space="0" w:color="auto"/>
              <w:bottom w:val="single" w:sz="6" w:space="0" w:color="auto"/>
              <w:right w:val="single" w:sz="12" w:space="0" w:color="auto"/>
            </w:tcBorders>
            <w:shd w:val="solid" w:color="C0C0C0" w:fill="auto"/>
            <w:vAlign w:val="center"/>
          </w:tcPr>
          <w:p w:rsidR="00A64035" w:rsidRPr="005F52F7" w:rsidRDefault="00A64035" w:rsidP="0075074A">
            <w:pPr>
              <w:autoSpaceDE w:val="0"/>
              <w:autoSpaceDN w:val="0"/>
              <w:adjustRightInd w:val="0"/>
              <w:jc w:val="center"/>
              <w:rPr>
                <w:b/>
                <w:bCs/>
                <w:color w:val="000000"/>
                <w:sz w:val="20"/>
                <w:szCs w:val="12"/>
              </w:rPr>
            </w:pPr>
            <w:r w:rsidRPr="005F52F7">
              <w:rPr>
                <w:b/>
                <w:bCs/>
                <w:color w:val="000000"/>
                <w:sz w:val="20"/>
                <w:szCs w:val="12"/>
              </w:rPr>
              <w:t>138 823</w:t>
            </w:r>
          </w:p>
        </w:tc>
      </w:tr>
      <w:tr w:rsidR="00A64035" w:rsidRPr="005F52F7" w:rsidTr="0075074A">
        <w:trPr>
          <w:trHeight w:val="247"/>
        </w:trPr>
        <w:tc>
          <w:tcPr>
            <w:tcW w:w="2730" w:type="dxa"/>
            <w:tcBorders>
              <w:top w:val="single" w:sz="6" w:space="0" w:color="auto"/>
              <w:left w:val="single" w:sz="12"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meziroční přírůstek (v%)</w:t>
            </w:r>
          </w:p>
        </w:tc>
        <w:tc>
          <w:tcPr>
            <w:tcW w:w="886" w:type="dxa"/>
            <w:tcBorders>
              <w:top w:val="single" w:sz="6" w:space="0" w:color="auto"/>
              <w:left w:val="single" w:sz="12"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-1,4</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-1,9</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-2,5</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-1,7</w:t>
            </w:r>
          </w:p>
        </w:tc>
        <w:tc>
          <w:tcPr>
            <w:tcW w:w="887"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-1,6</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-0,7</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-0,1</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-0,2</w:t>
            </w:r>
          </w:p>
        </w:tc>
        <w:tc>
          <w:tcPr>
            <w:tcW w:w="886" w:type="dxa"/>
            <w:tcBorders>
              <w:top w:val="single" w:sz="6" w:space="0" w:color="auto"/>
              <w:left w:val="single" w:sz="6" w:space="0" w:color="auto"/>
              <w:bottom w:val="single" w:sz="6"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1,0</w:t>
            </w:r>
          </w:p>
        </w:tc>
        <w:tc>
          <w:tcPr>
            <w:tcW w:w="887" w:type="dxa"/>
            <w:tcBorders>
              <w:top w:val="single" w:sz="6" w:space="0" w:color="auto"/>
              <w:left w:val="single" w:sz="6" w:space="0" w:color="auto"/>
              <w:bottom w:val="single" w:sz="6"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1,8</w:t>
            </w:r>
          </w:p>
        </w:tc>
      </w:tr>
      <w:tr w:rsidR="00A64035" w:rsidRPr="005F52F7" w:rsidTr="0075074A">
        <w:trPr>
          <w:trHeight w:val="262"/>
        </w:trPr>
        <w:tc>
          <w:tcPr>
            <w:tcW w:w="2730" w:type="dxa"/>
            <w:tcBorders>
              <w:top w:val="single" w:sz="6" w:space="0" w:color="auto"/>
              <w:left w:val="single" w:sz="12"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rPr>
                <w:color w:val="000000"/>
                <w:sz w:val="20"/>
                <w:szCs w:val="14"/>
              </w:rPr>
            </w:pPr>
            <w:r w:rsidRPr="005F52F7">
              <w:rPr>
                <w:color w:val="000000"/>
                <w:sz w:val="20"/>
                <w:szCs w:val="14"/>
              </w:rPr>
              <w:t xml:space="preserve">přírůstek vůči </w:t>
            </w:r>
            <w:proofErr w:type="spellStart"/>
            <w:r w:rsidRPr="005F52F7">
              <w:rPr>
                <w:color w:val="000000"/>
                <w:sz w:val="20"/>
                <w:szCs w:val="14"/>
              </w:rPr>
              <w:t>šk</w:t>
            </w:r>
            <w:proofErr w:type="spellEnd"/>
            <w:r w:rsidRPr="005F52F7">
              <w:rPr>
                <w:color w:val="000000"/>
                <w:sz w:val="20"/>
                <w:szCs w:val="14"/>
              </w:rPr>
              <w:t>. roku 2006/07 (v%)</w:t>
            </w:r>
          </w:p>
        </w:tc>
        <w:tc>
          <w:tcPr>
            <w:tcW w:w="886" w:type="dxa"/>
            <w:tcBorders>
              <w:top w:val="single" w:sz="6" w:space="0" w:color="auto"/>
              <w:left w:val="single" w:sz="12"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8,2</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6,8</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4,8</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2,1</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-1,7</w:t>
            </w:r>
          </w:p>
        </w:tc>
        <w:tc>
          <w:tcPr>
            <w:tcW w:w="887"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-3,3</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-3,4</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-4,1</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-4,2</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-4,4</w:t>
            </w:r>
          </w:p>
        </w:tc>
        <w:tc>
          <w:tcPr>
            <w:tcW w:w="886" w:type="dxa"/>
            <w:tcBorders>
              <w:top w:val="single" w:sz="6" w:space="0" w:color="auto"/>
              <w:left w:val="single" w:sz="6" w:space="0" w:color="auto"/>
              <w:bottom w:val="single" w:sz="12" w:space="0" w:color="auto"/>
              <w:right w:val="single" w:sz="6"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-3,5</w:t>
            </w:r>
          </w:p>
        </w:tc>
        <w:tc>
          <w:tcPr>
            <w:tcW w:w="887" w:type="dxa"/>
            <w:tcBorders>
              <w:top w:val="single" w:sz="6" w:space="0" w:color="auto"/>
              <w:left w:val="single" w:sz="6" w:space="0" w:color="auto"/>
              <w:bottom w:val="single" w:sz="12" w:space="0" w:color="auto"/>
              <w:right w:val="single" w:sz="12" w:space="0" w:color="auto"/>
            </w:tcBorders>
            <w:vAlign w:val="center"/>
          </w:tcPr>
          <w:p w:rsidR="00A64035" w:rsidRPr="005F52F7" w:rsidRDefault="00A64035" w:rsidP="0075074A">
            <w:pPr>
              <w:autoSpaceDE w:val="0"/>
              <w:autoSpaceDN w:val="0"/>
              <w:adjustRightInd w:val="0"/>
              <w:jc w:val="center"/>
              <w:rPr>
                <w:color w:val="000000"/>
                <w:sz w:val="20"/>
                <w:szCs w:val="12"/>
              </w:rPr>
            </w:pPr>
            <w:r w:rsidRPr="005F52F7">
              <w:rPr>
                <w:color w:val="000000"/>
                <w:sz w:val="20"/>
                <w:szCs w:val="12"/>
              </w:rPr>
              <w:t>-1,8</w:t>
            </w:r>
          </w:p>
        </w:tc>
      </w:tr>
    </w:tbl>
    <w:p w:rsidR="00A64035" w:rsidRPr="005209F8" w:rsidRDefault="00A64035" w:rsidP="00A64035">
      <w:pPr>
        <w:tabs>
          <w:tab w:val="left" w:pos="8640"/>
        </w:tabs>
        <w:jc w:val="both"/>
        <w:rPr>
          <w:sz w:val="22"/>
          <w:szCs w:val="22"/>
        </w:rPr>
      </w:pPr>
    </w:p>
    <w:p w:rsidR="00A64035" w:rsidRPr="005209F8" w:rsidRDefault="00A64035" w:rsidP="00A64035">
      <w:pPr>
        <w:tabs>
          <w:tab w:val="left" w:pos="8640"/>
        </w:tabs>
        <w:jc w:val="both"/>
        <w:rPr>
          <w:sz w:val="22"/>
          <w:szCs w:val="22"/>
        </w:rPr>
      </w:pPr>
      <w:r w:rsidRPr="005209F8">
        <w:rPr>
          <w:sz w:val="22"/>
          <w:szCs w:val="22"/>
        </w:rPr>
        <w:t xml:space="preserve">* - děti, které se v období daného školního roku vzdělávaly v úrovni předškolního vzdělávání; běžné MŠ i MŠ pro </w:t>
      </w:r>
      <w:proofErr w:type="gramStart"/>
      <w:r w:rsidRPr="005209F8">
        <w:rPr>
          <w:sz w:val="22"/>
          <w:szCs w:val="22"/>
        </w:rPr>
        <w:t>děti s SVP</w:t>
      </w:r>
      <w:proofErr w:type="gramEnd"/>
      <w:r w:rsidRPr="005209F8">
        <w:rPr>
          <w:sz w:val="22"/>
          <w:szCs w:val="22"/>
        </w:rPr>
        <w:t xml:space="preserve"> vč. přípravného stupně ZŠ speciální; bez MŠ při ZZ</w:t>
      </w:r>
    </w:p>
    <w:p w:rsidR="00A64035" w:rsidRPr="005209F8" w:rsidRDefault="00A64035" w:rsidP="00A64035">
      <w:pPr>
        <w:tabs>
          <w:tab w:val="left" w:pos="8640"/>
        </w:tabs>
        <w:jc w:val="both"/>
        <w:rPr>
          <w:sz w:val="22"/>
          <w:szCs w:val="22"/>
        </w:rPr>
      </w:pPr>
      <w:r w:rsidRPr="005209F8">
        <w:rPr>
          <w:sz w:val="22"/>
          <w:szCs w:val="22"/>
        </w:rPr>
        <w:t xml:space="preserve">** - žáci, kteří se v období daného školního roku vzdělávali v úrovni základního vzdělávání; běžné ZŠ i ZŠ pro </w:t>
      </w:r>
      <w:proofErr w:type="gramStart"/>
      <w:r w:rsidRPr="005209F8">
        <w:rPr>
          <w:sz w:val="22"/>
          <w:szCs w:val="22"/>
        </w:rPr>
        <w:t>žáky s SVP</w:t>
      </w:r>
      <w:proofErr w:type="gramEnd"/>
      <w:r w:rsidRPr="005209F8">
        <w:rPr>
          <w:sz w:val="22"/>
          <w:szCs w:val="22"/>
        </w:rPr>
        <w:t>; bez ZŠ při ZZ</w:t>
      </w:r>
    </w:p>
    <w:p w:rsidR="00A64035" w:rsidRPr="005209F8" w:rsidRDefault="00A64035" w:rsidP="00A64035">
      <w:pPr>
        <w:tabs>
          <w:tab w:val="left" w:pos="8640"/>
        </w:tabs>
        <w:jc w:val="both"/>
        <w:rPr>
          <w:sz w:val="22"/>
          <w:szCs w:val="22"/>
        </w:rPr>
      </w:pPr>
      <w:r w:rsidRPr="005209F8">
        <w:rPr>
          <w:sz w:val="22"/>
          <w:szCs w:val="22"/>
        </w:rPr>
        <w:t>*** - žáci, kteří se v období daného školního roku vzdělávali v denní formě studia v úrovni středního vzdělávání resp. v konzervatoři; vč. oborů nástaveb (L/5) a zkráceného středního studia</w:t>
      </w:r>
      <w:r w:rsidRPr="005209F8">
        <w:rPr>
          <w:sz w:val="22"/>
          <w:szCs w:val="22"/>
        </w:rPr>
        <w:tab/>
      </w:r>
    </w:p>
    <w:p w:rsidR="00A64035" w:rsidRPr="005209F8" w:rsidRDefault="00A64035" w:rsidP="00A64035">
      <w:pPr>
        <w:tabs>
          <w:tab w:val="left" w:pos="8640"/>
        </w:tabs>
        <w:jc w:val="both"/>
        <w:rPr>
          <w:sz w:val="22"/>
          <w:szCs w:val="22"/>
        </w:rPr>
      </w:pPr>
      <w:r w:rsidRPr="005209F8">
        <w:rPr>
          <w:sz w:val="22"/>
          <w:szCs w:val="22"/>
        </w:rPr>
        <w:t>**** - studenti, kteří se v období daného školního roku vzdělávali v denní formě studia v úrovni vyššího odborného vzdělávání</w:t>
      </w:r>
      <w:r w:rsidRPr="005209F8">
        <w:rPr>
          <w:sz w:val="22"/>
          <w:szCs w:val="22"/>
        </w:rPr>
        <w:tab/>
      </w:r>
      <w:r w:rsidRPr="005209F8">
        <w:rPr>
          <w:sz w:val="22"/>
          <w:szCs w:val="22"/>
        </w:rPr>
        <w:tab/>
      </w:r>
    </w:p>
    <w:p w:rsidR="00A64035" w:rsidRPr="005209F8" w:rsidRDefault="00A64035" w:rsidP="00A64035">
      <w:pPr>
        <w:tabs>
          <w:tab w:val="left" w:pos="8640"/>
        </w:tabs>
        <w:jc w:val="both"/>
        <w:rPr>
          <w:sz w:val="22"/>
          <w:szCs w:val="22"/>
        </w:rPr>
      </w:pPr>
      <w:r w:rsidRPr="005209F8">
        <w:rPr>
          <w:sz w:val="22"/>
          <w:szCs w:val="22"/>
        </w:rPr>
        <w:t xml:space="preserve">Zdroj: SVP </w:t>
      </w:r>
      <w:proofErr w:type="spellStart"/>
      <w:r w:rsidRPr="005209F8">
        <w:rPr>
          <w:sz w:val="22"/>
          <w:szCs w:val="22"/>
        </w:rPr>
        <w:t>PedF</w:t>
      </w:r>
      <w:proofErr w:type="spellEnd"/>
      <w:r w:rsidRPr="005209F8">
        <w:rPr>
          <w:sz w:val="22"/>
          <w:szCs w:val="22"/>
        </w:rPr>
        <w:t xml:space="preserve"> UK, Projekce obyvatelstva dle věku a kraje (výstup projektu Kvalita II. - říjen 2008); ÚIV, Zahajovací výkonové výkazy škol </w:t>
      </w:r>
      <w:r>
        <w:rPr>
          <w:sz w:val="22"/>
          <w:szCs w:val="22"/>
        </w:rPr>
        <w:br/>
      </w:r>
      <w:r w:rsidRPr="005209F8">
        <w:rPr>
          <w:sz w:val="22"/>
          <w:szCs w:val="22"/>
        </w:rPr>
        <w:t>(</w:t>
      </w:r>
      <w:proofErr w:type="spellStart"/>
      <w:r w:rsidRPr="005209F8">
        <w:rPr>
          <w:sz w:val="22"/>
          <w:szCs w:val="22"/>
        </w:rPr>
        <w:t>šk</w:t>
      </w:r>
      <w:proofErr w:type="spellEnd"/>
      <w:r w:rsidRPr="005209F8">
        <w:rPr>
          <w:sz w:val="22"/>
          <w:szCs w:val="22"/>
        </w:rPr>
        <w:t xml:space="preserve">. roky 2001/2002 - 2010/2011) </w:t>
      </w:r>
      <w:r w:rsidRPr="005209F8">
        <w:rPr>
          <w:sz w:val="22"/>
          <w:szCs w:val="22"/>
        </w:rPr>
        <w:tab/>
      </w:r>
      <w:r w:rsidRPr="005209F8">
        <w:rPr>
          <w:sz w:val="22"/>
          <w:szCs w:val="22"/>
        </w:rPr>
        <w:tab/>
      </w:r>
    </w:p>
    <w:p w:rsidR="00A64035" w:rsidRPr="005209F8" w:rsidRDefault="00A64035" w:rsidP="00A64035">
      <w:pPr>
        <w:tabs>
          <w:tab w:val="left" w:pos="8640"/>
        </w:tabs>
        <w:jc w:val="both"/>
        <w:rPr>
          <w:sz w:val="22"/>
          <w:szCs w:val="22"/>
        </w:rPr>
      </w:pPr>
      <w:r w:rsidRPr="005209F8">
        <w:rPr>
          <w:sz w:val="22"/>
          <w:szCs w:val="22"/>
        </w:rPr>
        <w:t xml:space="preserve">Predikce vývoje počtu dětí, žáků a studentů v soustavě školství Ústeckého kraje vychází z demografické projekce stavu obyvatelstva </w:t>
      </w:r>
      <w:r>
        <w:rPr>
          <w:sz w:val="22"/>
          <w:szCs w:val="22"/>
        </w:rPr>
        <w:br/>
      </w:r>
      <w:r w:rsidRPr="005209F8">
        <w:rPr>
          <w:sz w:val="22"/>
          <w:szCs w:val="22"/>
        </w:rPr>
        <w:t xml:space="preserve">v jednotlivých věkových kohortách (dle SVP </w:t>
      </w:r>
      <w:proofErr w:type="spellStart"/>
      <w:r w:rsidRPr="005209F8">
        <w:rPr>
          <w:sz w:val="22"/>
          <w:szCs w:val="22"/>
        </w:rPr>
        <w:t>PedF</w:t>
      </w:r>
      <w:proofErr w:type="spellEnd"/>
      <w:r w:rsidRPr="005209F8">
        <w:rPr>
          <w:sz w:val="22"/>
          <w:szCs w:val="22"/>
        </w:rPr>
        <w:t xml:space="preserve"> UK) a z odhadu míry účasti jednotlivých věkových skupin ve vzdělávání v odpovídajícím stupni vzdělání (předškolní, základní, střední</w:t>
      </w:r>
      <w:r w:rsidR="006B3503">
        <w:rPr>
          <w:sz w:val="22"/>
          <w:szCs w:val="22"/>
        </w:rPr>
        <w:t xml:space="preserve"> </w:t>
      </w:r>
      <w:r w:rsidRPr="005209F8">
        <w:rPr>
          <w:sz w:val="22"/>
          <w:szCs w:val="22"/>
        </w:rPr>
        <w:t>+</w:t>
      </w:r>
      <w:r w:rsidR="006B3503">
        <w:rPr>
          <w:sz w:val="22"/>
          <w:szCs w:val="22"/>
        </w:rPr>
        <w:t xml:space="preserve"> </w:t>
      </w:r>
      <w:r w:rsidRPr="005209F8">
        <w:rPr>
          <w:sz w:val="22"/>
          <w:szCs w:val="22"/>
        </w:rPr>
        <w:t>konzervatoř a vyšší odborný).</w:t>
      </w:r>
      <w:r w:rsidRPr="005209F8">
        <w:rPr>
          <w:sz w:val="22"/>
          <w:szCs w:val="22"/>
        </w:rPr>
        <w:tab/>
      </w:r>
      <w:r w:rsidRPr="005209F8">
        <w:rPr>
          <w:sz w:val="22"/>
          <w:szCs w:val="22"/>
        </w:rPr>
        <w:tab/>
      </w:r>
    </w:p>
    <w:p w:rsidR="00A64035" w:rsidRPr="005209F8" w:rsidRDefault="00A64035" w:rsidP="00A64035">
      <w:pPr>
        <w:tabs>
          <w:tab w:val="left" w:pos="8640"/>
        </w:tabs>
        <w:jc w:val="both"/>
        <w:rPr>
          <w:b/>
          <w:bCs/>
          <w:sz w:val="22"/>
          <w:szCs w:val="22"/>
        </w:rPr>
      </w:pPr>
      <w:r w:rsidRPr="005209F8">
        <w:rPr>
          <w:sz w:val="22"/>
          <w:szCs w:val="22"/>
        </w:rPr>
        <w:t xml:space="preserve">Míra účasti jednotlivých věkových skupin ve vzdělávání v odpovídajícím stupni vzdělání v budoucích letech byla odhadnuta na základě průměru z uplynulých 5 školních let. Pro zjednodušení nebyly uvažovány překryvy jednotlivých věkových skupin v rámci různých stupňů vzdělání (např. odklad povinné školní docházky či vzdělávání osob z jiných věkových skupin v úrovni středního a vyššího odborného vzdělání). </w:t>
      </w:r>
      <w:r w:rsidRPr="005209F8">
        <w:rPr>
          <w:sz w:val="22"/>
          <w:szCs w:val="22"/>
        </w:rPr>
        <w:tab/>
      </w:r>
    </w:p>
    <w:p w:rsidR="00A64035" w:rsidRPr="005209F8" w:rsidRDefault="00A64035" w:rsidP="00A64035">
      <w:pPr>
        <w:rPr>
          <w:sz w:val="22"/>
          <w:szCs w:val="22"/>
        </w:rPr>
        <w:sectPr w:rsidR="00A64035" w:rsidRPr="005209F8" w:rsidSect="0075074A">
          <w:headerReference w:type="default" r:id="rId25"/>
          <w:headerReference w:type="first" r:id="rId26"/>
          <w:pgSz w:w="16838" w:h="11906" w:orient="landscape"/>
          <w:pgMar w:top="1418" w:right="1418" w:bottom="1418" w:left="1418" w:header="709" w:footer="709" w:gutter="0"/>
          <w:cols w:space="708"/>
          <w:titlePg/>
          <w:docGrid w:linePitch="360"/>
        </w:sectPr>
      </w:pPr>
    </w:p>
    <w:p w:rsidR="00A64035" w:rsidRPr="005209F8" w:rsidRDefault="00A64035" w:rsidP="00A64035">
      <w:pPr>
        <w:jc w:val="both"/>
        <w:rPr>
          <w:i/>
          <w:sz w:val="22"/>
          <w:szCs w:val="22"/>
        </w:rPr>
      </w:pPr>
    </w:p>
    <w:p w:rsidR="00A64035" w:rsidRPr="005209F8" w:rsidRDefault="00A64035" w:rsidP="00A64035">
      <w:pPr>
        <w:jc w:val="both"/>
        <w:rPr>
          <w:i/>
          <w:sz w:val="22"/>
          <w:szCs w:val="22"/>
        </w:rPr>
      </w:pPr>
    </w:p>
    <w:p w:rsidR="00A64035" w:rsidRPr="005209F8" w:rsidRDefault="00A64035" w:rsidP="00A64035">
      <w:pPr>
        <w:jc w:val="both"/>
        <w:rPr>
          <w:i/>
          <w:color w:val="000000"/>
          <w:sz w:val="22"/>
          <w:szCs w:val="22"/>
        </w:rPr>
      </w:pPr>
      <w:r w:rsidRPr="005209F8">
        <w:rPr>
          <w:i/>
          <w:sz w:val="22"/>
          <w:szCs w:val="22"/>
        </w:rPr>
        <w:t>Příloha č. 10. z</w:t>
      </w:r>
      <w:r w:rsidRPr="005209F8">
        <w:rPr>
          <w:i/>
          <w:color w:val="000000"/>
          <w:sz w:val="22"/>
          <w:szCs w:val="22"/>
        </w:rPr>
        <w:t>ájmové útvary DDM Chomutov</w:t>
      </w:r>
    </w:p>
    <w:p w:rsidR="00A64035" w:rsidRDefault="00A64035" w:rsidP="00A64035"/>
    <w:p w:rsidR="00A64035" w:rsidRDefault="00A64035" w:rsidP="00A640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A64035" w:rsidTr="0075074A">
        <w:tc>
          <w:tcPr>
            <w:tcW w:w="3070" w:type="dxa"/>
            <w:tcBorders>
              <w:top w:val="single" w:sz="4" w:space="0" w:color="auto"/>
              <w:left w:val="single" w:sz="4" w:space="0" w:color="auto"/>
              <w:bottom w:val="single" w:sz="4" w:space="0" w:color="auto"/>
              <w:right w:val="single" w:sz="4" w:space="0" w:color="auto"/>
            </w:tcBorders>
          </w:tcPr>
          <w:p w:rsidR="00A64035" w:rsidRPr="005209F8" w:rsidRDefault="00A64035" w:rsidP="0075074A">
            <w:pPr>
              <w:jc w:val="both"/>
              <w:rPr>
                <w:rFonts w:cs="Arial"/>
                <w:sz w:val="22"/>
                <w:szCs w:val="22"/>
              </w:rPr>
            </w:pP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Školní rok 2009/2010</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 xml:space="preserve">Školní rok 2010/2011 </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ZÁJMOVÉ ÚTVARY</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85</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90</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POČET ÚČASTNÍKŮ</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997</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970</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Z TOHO DÍTĚ</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101</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129</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Z TOHO ŽÁK</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690</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679</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Z TOHO STUDENT</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59</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34</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Z TOHO OSTATNÍ</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 xml:space="preserve">130 </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128</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PŘÍLEŽITOSTNÉ AKCE</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185</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300</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POČET ÚČASTNÍKŮ</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11 272</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15 591</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Z TOHO VÍKEND</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48</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64</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VÍKEND ÚČAST</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6018</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10356</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SPONTÁNNÍ AKTIVITY</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130</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144</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SPONTÁNNÍ – ÚČAST</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5435</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4321</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TÁBORY + PŘÍMĚSTSKÉ</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3+4</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4+4</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ÚČASTNÍCI TÁBOR</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136+56</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189+74</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SOUSTŘEDĚNÍ</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0</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2</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SOUTĚŽE MŠMT</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41</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41</w:t>
            </w:r>
          </w:p>
        </w:tc>
      </w:tr>
      <w:tr w:rsidR="00A64035" w:rsidTr="0075074A">
        <w:tc>
          <w:tcPr>
            <w:tcW w:w="3070"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SOUTĚŽÍCÍCH</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3551</w:t>
            </w:r>
          </w:p>
        </w:tc>
        <w:tc>
          <w:tcPr>
            <w:tcW w:w="3071" w:type="dxa"/>
            <w:tcBorders>
              <w:top w:val="single" w:sz="4" w:space="0" w:color="auto"/>
              <w:left w:val="single" w:sz="4" w:space="0" w:color="auto"/>
              <w:bottom w:val="single" w:sz="4" w:space="0" w:color="auto"/>
              <w:right w:val="single" w:sz="4" w:space="0" w:color="auto"/>
            </w:tcBorders>
            <w:hideMark/>
          </w:tcPr>
          <w:p w:rsidR="00A64035" w:rsidRPr="005209F8" w:rsidRDefault="00A64035" w:rsidP="0075074A">
            <w:pPr>
              <w:jc w:val="both"/>
              <w:rPr>
                <w:rFonts w:cs="Arial"/>
                <w:sz w:val="22"/>
                <w:szCs w:val="22"/>
              </w:rPr>
            </w:pPr>
            <w:r w:rsidRPr="005209F8">
              <w:rPr>
                <w:rFonts w:cs="Arial"/>
                <w:sz w:val="22"/>
                <w:szCs w:val="22"/>
              </w:rPr>
              <w:t>3451</w:t>
            </w:r>
          </w:p>
        </w:tc>
      </w:tr>
    </w:tbl>
    <w:p w:rsidR="00A64035" w:rsidRDefault="00A64035" w:rsidP="00A64035">
      <w:pPr>
        <w:shd w:val="clear" w:color="auto" w:fill="FFFFFF"/>
        <w:rPr>
          <w:i/>
          <w:color w:val="000000"/>
        </w:rPr>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6B3503" w:rsidRDefault="006B3503" w:rsidP="00A64035">
      <w:pPr>
        <w:jc w:val="both"/>
      </w:pPr>
    </w:p>
    <w:p w:rsidR="006B3503" w:rsidRDefault="006B3503"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Default="00A64035" w:rsidP="00A64035">
      <w:pPr>
        <w:jc w:val="both"/>
      </w:pPr>
    </w:p>
    <w:p w:rsidR="00A64035" w:rsidRPr="00D11380" w:rsidRDefault="00A64035" w:rsidP="00A64035">
      <w:pPr>
        <w:jc w:val="both"/>
        <w:rPr>
          <w:sz w:val="22"/>
          <w:szCs w:val="22"/>
        </w:rPr>
      </w:pPr>
    </w:p>
    <w:p w:rsidR="00A64035" w:rsidRPr="00D11380" w:rsidRDefault="00A64035" w:rsidP="00A64035">
      <w:pPr>
        <w:rPr>
          <w:bCs/>
          <w:i/>
          <w:sz w:val="22"/>
          <w:szCs w:val="22"/>
        </w:rPr>
      </w:pPr>
      <w:r w:rsidRPr="00D11380">
        <w:rPr>
          <w:bCs/>
          <w:i/>
          <w:sz w:val="22"/>
          <w:szCs w:val="22"/>
        </w:rPr>
        <w:lastRenderedPageBreak/>
        <w:t>Příloha č. 11</w:t>
      </w:r>
    </w:p>
    <w:p w:rsidR="00A64035" w:rsidRPr="00D11380" w:rsidRDefault="00A64035" w:rsidP="00A64035">
      <w:pPr>
        <w:rPr>
          <w:bCs/>
          <w:i/>
          <w:sz w:val="22"/>
          <w:szCs w:val="22"/>
        </w:rPr>
      </w:pPr>
    </w:p>
    <w:p w:rsidR="00A64035" w:rsidRPr="00A5630D" w:rsidRDefault="00A64035" w:rsidP="00A64035">
      <w:pPr>
        <w:rPr>
          <w:bCs/>
          <w:i/>
        </w:rPr>
      </w:pPr>
    </w:p>
    <w:p w:rsidR="00A64035" w:rsidRPr="00D426FA" w:rsidRDefault="00A64035" w:rsidP="00A64035">
      <w:pPr>
        <w:rPr>
          <w:rFonts w:cs="Arial"/>
          <w:bCs/>
          <w:sz w:val="22"/>
          <w:szCs w:val="22"/>
        </w:rPr>
      </w:pPr>
      <w:r w:rsidRPr="00D426FA">
        <w:rPr>
          <w:rFonts w:cs="Arial"/>
          <w:bCs/>
          <w:sz w:val="22"/>
          <w:szCs w:val="22"/>
        </w:rPr>
        <w:t>Použité zkratky:</w:t>
      </w:r>
    </w:p>
    <w:p w:rsidR="00A64035" w:rsidRPr="00D426FA" w:rsidRDefault="00A64035" w:rsidP="00A64035">
      <w:pPr>
        <w:rPr>
          <w:rFonts w:cs="Arial"/>
          <w:bCs/>
          <w:sz w:val="22"/>
          <w:szCs w:val="22"/>
        </w:rPr>
      </w:pPr>
    </w:p>
    <w:p w:rsidR="00A64035" w:rsidRPr="00D426FA" w:rsidRDefault="00A64035" w:rsidP="00A64035">
      <w:pPr>
        <w:rPr>
          <w:rFonts w:cs="Arial"/>
          <w:bCs/>
          <w:sz w:val="22"/>
          <w:szCs w:val="22"/>
        </w:rPr>
      </w:pPr>
      <w:r w:rsidRPr="00D426FA">
        <w:rPr>
          <w:rFonts w:cs="Arial"/>
          <w:bCs/>
          <w:sz w:val="22"/>
          <w:szCs w:val="22"/>
        </w:rPr>
        <w:t>APZ</w:t>
      </w:r>
      <w:r w:rsidRPr="00D426FA">
        <w:rPr>
          <w:rFonts w:cs="Arial"/>
          <w:bCs/>
          <w:sz w:val="22"/>
          <w:szCs w:val="22"/>
        </w:rPr>
        <w:tab/>
      </w:r>
      <w:r w:rsidRPr="00D426FA">
        <w:rPr>
          <w:rFonts w:cs="Arial"/>
          <w:bCs/>
          <w:sz w:val="22"/>
          <w:szCs w:val="22"/>
        </w:rPr>
        <w:tab/>
        <w:t>– aktivní politika zaměstnanosti</w:t>
      </w:r>
    </w:p>
    <w:p w:rsidR="00A64035" w:rsidRPr="00D426FA" w:rsidRDefault="00A64035" w:rsidP="00A64035">
      <w:pPr>
        <w:rPr>
          <w:rFonts w:cs="Arial"/>
          <w:bCs/>
          <w:sz w:val="22"/>
          <w:szCs w:val="22"/>
        </w:rPr>
      </w:pPr>
      <w:r w:rsidRPr="00D426FA">
        <w:rPr>
          <w:rFonts w:cs="Arial"/>
          <w:bCs/>
          <w:sz w:val="22"/>
          <w:szCs w:val="22"/>
        </w:rPr>
        <w:t xml:space="preserve">CNC </w:t>
      </w:r>
      <w:r w:rsidRPr="00D426FA">
        <w:rPr>
          <w:rFonts w:cs="Arial"/>
          <w:bCs/>
          <w:sz w:val="22"/>
          <w:szCs w:val="22"/>
        </w:rPr>
        <w:tab/>
      </w:r>
      <w:r w:rsidRPr="00D426FA">
        <w:rPr>
          <w:rFonts w:cs="Arial"/>
          <w:bCs/>
          <w:sz w:val="22"/>
          <w:szCs w:val="22"/>
        </w:rPr>
        <w:tab/>
        <w:t xml:space="preserve">– </w:t>
      </w:r>
      <w:proofErr w:type="spellStart"/>
      <w:r w:rsidRPr="00D426FA">
        <w:rPr>
          <w:rFonts w:cs="Arial"/>
          <w:bCs/>
          <w:sz w:val="22"/>
          <w:szCs w:val="22"/>
        </w:rPr>
        <w:t>Computer</w:t>
      </w:r>
      <w:proofErr w:type="spellEnd"/>
      <w:r w:rsidRPr="00D426FA">
        <w:rPr>
          <w:rFonts w:cs="Arial"/>
          <w:bCs/>
          <w:sz w:val="22"/>
          <w:szCs w:val="22"/>
        </w:rPr>
        <w:t xml:space="preserve"> </w:t>
      </w:r>
      <w:proofErr w:type="spellStart"/>
      <w:r w:rsidRPr="00D426FA">
        <w:rPr>
          <w:rFonts w:cs="Arial"/>
          <w:bCs/>
          <w:sz w:val="22"/>
          <w:szCs w:val="22"/>
        </w:rPr>
        <w:t>Numeric</w:t>
      </w:r>
      <w:proofErr w:type="spellEnd"/>
      <w:r w:rsidRPr="00D426FA">
        <w:rPr>
          <w:rFonts w:cs="Arial"/>
          <w:bCs/>
          <w:sz w:val="22"/>
          <w:szCs w:val="22"/>
        </w:rPr>
        <w:t xml:space="preserve"> Kontrol</w:t>
      </w:r>
    </w:p>
    <w:p w:rsidR="00A64035" w:rsidRPr="00D426FA" w:rsidRDefault="00A64035" w:rsidP="00A64035">
      <w:pPr>
        <w:rPr>
          <w:rFonts w:cs="Arial"/>
          <w:bCs/>
          <w:sz w:val="22"/>
          <w:szCs w:val="22"/>
        </w:rPr>
      </w:pPr>
      <w:r w:rsidRPr="00D426FA">
        <w:rPr>
          <w:rFonts w:cs="Arial"/>
          <w:bCs/>
          <w:sz w:val="22"/>
          <w:szCs w:val="22"/>
        </w:rPr>
        <w:t xml:space="preserve">ČR </w:t>
      </w:r>
      <w:r w:rsidRPr="00D426FA">
        <w:rPr>
          <w:rFonts w:cs="Arial"/>
          <w:bCs/>
          <w:sz w:val="22"/>
          <w:szCs w:val="22"/>
        </w:rPr>
        <w:tab/>
      </w:r>
      <w:r w:rsidRPr="00D426FA">
        <w:rPr>
          <w:rFonts w:cs="Arial"/>
          <w:bCs/>
          <w:sz w:val="22"/>
          <w:szCs w:val="22"/>
        </w:rPr>
        <w:tab/>
        <w:t>– Česká Republika</w:t>
      </w:r>
    </w:p>
    <w:p w:rsidR="00A64035" w:rsidRPr="00D426FA" w:rsidRDefault="00A64035" w:rsidP="00A64035">
      <w:pPr>
        <w:rPr>
          <w:rFonts w:cs="Arial"/>
          <w:bCs/>
          <w:sz w:val="22"/>
          <w:szCs w:val="22"/>
        </w:rPr>
      </w:pPr>
      <w:r w:rsidRPr="00D426FA">
        <w:rPr>
          <w:rFonts w:cs="Arial"/>
          <w:bCs/>
          <w:sz w:val="22"/>
          <w:szCs w:val="22"/>
        </w:rPr>
        <w:t xml:space="preserve">ČVUT </w:t>
      </w:r>
      <w:r w:rsidRPr="00D426FA">
        <w:rPr>
          <w:rFonts w:cs="Arial"/>
          <w:bCs/>
          <w:sz w:val="22"/>
          <w:szCs w:val="22"/>
        </w:rPr>
        <w:tab/>
      </w:r>
      <w:r>
        <w:rPr>
          <w:rFonts w:cs="Arial"/>
          <w:bCs/>
          <w:sz w:val="22"/>
          <w:szCs w:val="22"/>
        </w:rPr>
        <w:tab/>
      </w:r>
      <w:r w:rsidRPr="00D426FA">
        <w:rPr>
          <w:rFonts w:cs="Arial"/>
          <w:bCs/>
          <w:sz w:val="22"/>
          <w:szCs w:val="22"/>
        </w:rPr>
        <w:t>– České vysoké učení technické</w:t>
      </w:r>
    </w:p>
    <w:p w:rsidR="00A64035" w:rsidRPr="00D426FA" w:rsidRDefault="00A64035" w:rsidP="00A64035">
      <w:pPr>
        <w:rPr>
          <w:rFonts w:cs="Arial"/>
          <w:bCs/>
          <w:sz w:val="22"/>
          <w:szCs w:val="22"/>
        </w:rPr>
      </w:pPr>
      <w:r w:rsidRPr="00D426FA">
        <w:rPr>
          <w:rFonts w:cs="Arial"/>
          <w:bCs/>
          <w:sz w:val="22"/>
          <w:szCs w:val="22"/>
        </w:rPr>
        <w:t xml:space="preserve">DDM </w:t>
      </w:r>
      <w:r w:rsidRPr="00D426FA">
        <w:rPr>
          <w:rFonts w:cs="Arial"/>
          <w:bCs/>
          <w:sz w:val="22"/>
          <w:szCs w:val="22"/>
        </w:rPr>
        <w:tab/>
      </w:r>
      <w:r w:rsidRPr="00D426FA">
        <w:rPr>
          <w:rFonts w:cs="Arial"/>
          <w:bCs/>
          <w:sz w:val="22"/>
          <w:szCs w:val="22"/>
        </w:rPr>
        <w:tab/>
        <w:t>– dům dětí a mládeže</w:t>
      </w:r>
    </w:p>
    <w:p w:rsidR="00A64035" w:rsidRPr="00D426FA" w:rsidRDefault="00A64035" w:rsidP="00A64035">
      <w:pPr>
        <w:rPr>
          <w:rFonts w:cs="Arial"/>
          <w:bCs/>
          <w:sz w:val="22"/>
          <w:szCs w:val="22"/>
        </w:rPr>
      </w:pPr>
      <w:r w:rsidRPr="00D426FA">
        <w:rPr>
          <w:rFonts w:cs="Arial"/>
          <w:bCs/>
          <w:sz w:val="22"/>
          <w:szCs w:val="22"/>
        </w:rPr>
        <w:t xml:space="preserve">ECDL </w:t>
      </w:r>
      <w:r w:rsidRPr="00D426FA">
        <w:rPr>
          <w:rFonts w:cs="Arial"/>
          <w:bCs/>
          <w:sz w:val="22"/>
          <w:szCs w:val="22"/>
        </w:rPr>
        <w:tab/>
      </w:r>
      <w:r w:rsidRPr="00D426FA">
        <w:rPr>
          <w:rFonts w:cs="Arial"/>
          <w:bCs/>
          <w:sz w:val="22"/>
          <w:szCs w:val="22"/>
        </w:rPr>
        <w:tab/>
        <w:t xml:space="preserve">– </w:t>
      </w:r>
      <w:proofErr w:type="spellStart"/>
      <w:r w:rsidRPr="00D426FA">
        <w:rPr>
          <w:rFonts w:cs="Arial"/>
          <w:bCs/>
          <w:sz w:val="22"/>
          <w:szCs w:val="22"/>
        </w:rPr>
        <w:t>European</w:t>
      </w:r>
      <w:proofErr w:type="spellEnd"/>
      <w:r w:rsidRPr="00D426FA">
        <w:rPr>
          <w:rFonts w:cs="Arial"/>
          <w:bCs/>
          <w:sz w:val="22"/>
          <w:szCs w:val="22"/>
        </w:rPr>
        <w:t xml:space="preserve"> </w:t>
      </w:r>
      <w:proofErr w:type="spellStart"/>
      <w:r w:rsidRPr="00D426FA">
        <w:rPr>
          <w:rFonts w:cs="Arial"/>
          <w:bCs/>
          <w:sz w:val="22"/>
          <w:szCs w:val="22"/>
        </w:rPr>
        <w:t>Computer</w:t>
      </w:r>
      <w:proofErr w:type="spellEnd"/>
      <w:r w:rsidRPr="00D426FA">
        <w:rPr>
          <w:rFonts w:cs="Arial"/>
          <w:bCs/>
          <w:sz w:val="22"/>
          <w:szCs w:val="22"/>
        </w:rPr>
        <w:t xml:space="preserve"> </w:t>
      </w:r>
      <w:proofErr w:type="spellStart"/>
      <w:r w:rsidRPr="00D426FA">
        <w:rPr>
          <w:rFonts w:cs="Arial"/>
          <w:bCs/>
          <w:sz w:val="22"/>
          <w:szCs w:val="22"/>
        </w:rPr>
        <w:t>Driving</w:t>
      </w:r>
      <w:proofErr w:type="spellEnd"/>
      <w:r w:rsidRPr="00D426FA">
        <w:rPr>
          <w:rFonts w:cs="Arial"/>
          <w:bCs/>
          <w:sz w:val="22"/>
          <w:szCs w:val="22"/>
        </w:rPr>
        <w:t xml:space="preserve"> Licence</w:t>
      </w:r>
    </w:p>
    <w:p w:rsidR="00A64035" w:rsidRPr="00D426FA" w:rsidRDefault="00A64035" w:rsidP="00A64035">
      <w:pPr>
        <w:rPr>
          <w:rFonts w:cs="Arial"/>
          <w:bCs/>
          <w:sz w:val="22"/>
          <w:szCs w:val="22"/>
        </w:rPr>
      </w:pPr>
      <w:r w:rsidRPr="00D426FA">
        <w:rPr>
          <w:rFonts w:cs="Arial"/>
          <w:bCs/>
          <w:sz w:val="22"/>
          <w:szCs w:val="22"/>
        </w:rPr>
        <w:t xml:space="preserve">ESF </w:t>
      </w:r>
      <w:r w:rsidRPr="00D426FA">
        <w:rPr>
          <w:rFonts w:cs="Arial"/>
          <w:bCs/>
          <w:sz w:val="22"/>
          <w:szCs w:val="22"/>
        </w:rPr>
        <w:tab/>
      </w:r>
      <w:r w:rsidRPr="00D426FA">
        <w:rPr>
          <w:rFonts w:cs="Arial"/>
          <w:bCs/>
          <w:sz w:val="22"/>
          <w:szCs w:val="22"/>
        </w:rPr>
        <w:tab/>
        <w:t>– Evropské strukturální fondy</w:t>
      </w:r>
    </w:p>
    <w:p w:rsidR="00A64035" w:rsidRPr="00D426FA" w:rsidRDefault="00A64035" w:rsidP="00A64035">
      <w:pPr>
        <w:rPr>
          <w:rFonts w:cs="Arial"/>
          <w:bCs/>
          <w:sz w:val="22"/>
          <w:szCs w:val="22"/>
        </w:rPr>
      </w:pPr>
      <w:r w:rsidRPr="00D426FA">
        <w:rPr>
          <w:rFonts w:cs="Arial"/>
          <w:bCs/>
          <w:sz w:val="22"/>
          <w:szCs w:val="22"/>
        </w:rPr>
        <w:t xml:space="preserve">EU </w:t>
      </w:r>
      <w:r w:rsidRPr="00D426FA">
        <w:rPr>
          <w:rFonts w:cs="Arial"/>
          <w:bCs/>
          <w:sz w:val="22"/>
          <w:szCs w:val="22"/>
        </w:rPr>
        <w:tab/>
      </w:r>
      <w:r w:rsidRPr="00D426FA">
        <w:rPr>
          <w:rFonts w:cs="Arial"/>
          <w:bCs/>
          <w:sz w:val="22"/>
          <w:szCs w:val="22"/>
        </w:rPr>
        <w:tab/>
        <w:t>– Evropská unie</w:t>
      </w:r>
    </w:p>
    <w:p w:rsidR="00A64035" w:rsidRPr="00D426FA" w:rsidRDefault="00A64035" w:rsidP="00A64035">
      <w:pPr>
        <w:rPr>
          <w:rFonts w:cs="Arial"/>
          <w:bCs/>
          <w:sz w:val="22"/>
          <w:szCs w:val="22"/>
        </w:rPr>
      </w:pPr>
      <w:r w:rsidRPr="00D426FA">
        <w:rPr>
          <w:rFonts w:cs="Arial"/>
          <w:bCs/>
          <w:sz w:val="22"/>
          <w:szCs w:val="22"/>
        </w:rPr>
        <w:t xml:space="preserve">HDP </w:t>
      </w:r>
      <w:r w:rsidRPr="00D426FA">
        <w:rPr>
          <w:rFonts w:cs="Arial"/>
          <w:bCs/>
          <w:sz w:val="22"/>
          <w:szCs w:val="22"/>
        </w:rPr>
        <w:tab/>
      </w:r>
      <w:r w:rsidRPr="00D426FA">
        <w:rPr>
          <w:rFonts w:cs="Arial"/>
          <w:bCs/>
          <w:sz w:val="22"/>
          <w:szCs w:val="22"/>
        </w:rPr>
        <w:tab/>
        <w:t>– hrubý domácí produkt</w:t>
      </w:r>
    </w:p>
    <w:p w:rsidR="00A64035" w:rsidRPr="00D426FA" w:rsidRDefault="00A64035" w:rsidP="00A64035">
      <w:pPr>
        <w:rPr>
          <w:rFonts w:cs="Arial"/>
          <w:bCs/>
          <w:sz w:val="22"/>
          <w:szCs w:val="22"/>
        </w:rPr>
      </w:pPr>
      <w:r w:rsidRPr="00D426FA">
        <w:rPr>
          <w:rFonts w:cs="Arial"/>
          <w:bCs/>
          <w:sz w:val="22"/>
          <w:szCs w:val="22"/>
        </w:rPr>
        <w:t xml:space="preserve">KZAM </w:t>
      </w:r>
      <w:r w:rsidRPr="00D426FA">
        <w:rPr>
          <w:rFonts w:cs="Arial"/>
          <w:bCs/>
          <w:sz w:val="22"/>
          <w:szCs w:val="22"/>
        </w:rPr>
        <w:tab/>
      </w:r>
      <w:r>
        <w:rPr>
          <w:rFonts w:cs="Arial"/>
          <w:bCs/>
          <w:sz w:val="22"/>
          <w:szCs w:val="22"/>
        </w:rPr>
        <w:tab/>
      </w:r>
      <w:r w:rsidRPr="00D426FA">
        <w:rPr>
          <w:rFonts w:cs="Arial"/>
          <w:bCs/>
          <w:sz w:val="22"/>
          <w:szCs w:val="22"/>
        </w:rPr>
        <w:t>– klasifikace zaměstnávání</w:t>
      </w:r>
    </w:p>
    <w:p w:rsidR="00A64035" w:rsidRPr="00D426FA" w:rsidRDefault="00A64035" w:rsidP="00A64035">
      <w:pPr>
        <w:rPr>
          <w:rFonts w:cs="Arial"/>
          <w:bCs/>
          <w:sz w:val="22"/>
          <w:szCs w:val="22"/>
        </w:rPr>
      </w:pPr>
      <w:r w:rsidRPr="00D426FA">
        <w:rPr>
          <w:rFonts w:cs="Arial"/>
          <w:bCs/>
          <w:sz w:val="22"/>
          <w:szCs w:val="22"/>
        </w:rPr>
        <w:t xml:space="preserve">MN </w:t>
      </w:r>
      <w:r w:rsidRPr="00D426FA">
        <w:rPr>
          <w:rFonts w:cs="Arial"/>
          <w:bCs/>
          <w:sz w:val="22"/>
          <w:szCs w:val="22"/>
        </w:rPr>
        <w:tab/>
      </w:r>
      <w:r w:rsidRPr="00D426FA">
        <w:rPr>
          <w:rFonts w:cs="Arial"/>
          <w:bCs/>
          <w:sz w:val="22"/>
          <w:szCs w:val="22"/>
        </w:rPr>
        <w:tab/>
        <w:t>– míra nezaměstnanosti</w:t>
      </w:r>
    </w:p>
    <w:p w:rsidR="00A64035" w:rsidRPr="00D426FA" w:rsidRDefault="00A64035" w:rsidP="00A64035">
      <w:pPr>
        <w:rPr>
          <w:rFonts w:cs="Arial"/>
          <w:bCs/>
          <w:sz w:val="22"/>
          <w:szCs w:val="22"/>
        </w:rPr>
      </w:pPr>
      <w:r w:rsidRPr="00D426FA">
        <w:rPr>
          <w:rFonts w:cs="Arial"/>
          <w:bCs/>
          <w:sz w:val="22"/>
          <w:szCs w:val="22"/>
        </w:rPr>
        <w:t xml:space="preserve">MP CV </w:t>
      </w:r>
      <w:r w:rsidRPr="00D426FA">
        <w:rPr>
          <w:rFonts w:cs="Arial"/>
          <w:bCs/>
          <w:sz w:val="22"/>
          <w:szCs w:val="22"/>
        </w:rPr>
        <w:tab/>
        <w:t>– Městská policie Chomutov</w:t>
      </w:r>
    </w:p>
    <w:p w:rsidR="00A64035" w:rsidRPr="00D426FA" w:rsidRDefault="00A64035" w:rsidP="00A64035">
      <w:pPr>
        <w:rPr>
          <w:rFonts w:cs="Arial"/>
          <w:bCs/>
          <w:sz w:val="22"/>
          <w:szCs w:val="22"/>
        </w:rPr>
      </w:pPr>
      <w:r w:rsidRPr="00D426FA">
        <w:rPr>
          <w:rFonts w:cs="Arial"/>
          <w:bCs/>
          <w:sz w:val="22"/>
          <w:szCs w:val="22"/>
        </w:rPr>
        <w:t xml:space="preserve">MŠ </w:t>
      </w:r>
      <w:r w:rsidRPr="00D426FA">
        <w:rPr>
          <w:rFonts w:cs="Arial"/>
          <w:bCs/>
          <w:sz w:val="22"/>
          <w:szCs w:val="22"/>
        </w:rPr>
        <w:tab/>
      </w:r>
      <w:r w:rsidRPr="00D426FA">
        <w:rPr>
          <w:rFonts w:cs="Arial"/>
          <w:bCs/>
          <w:sz w:val="22"/>
          <w:szCs w:val="22"/>
        </w:rPr>
        <w:tab/>
        <w:t>– mateřská škola</w:t>
      </w:r>
    </w:p>
    <w:p w:rsidR="00A64035" w:rsidRPr="00D426FA" w:rsidRDefault="00A64035" w:rsidP="00A64035">
      <w:pPr>
        <w:rPr>
          <w:rFonts w:cs="Arial"/>
          <w:bCs/>
          <w:sz w:val="22"/>
          <w:szCs w:val="22"/>
        </w:rPr>
      </w:pPr>
      <w:r w:rsidRPr="00D426FA">
        <w:rPr>
          <w:rFonts w:cs="Arial"/>
          <w:bCs/>
          <w:sz w:val="22"/>
          <w:szCs w:val="22"/>
        </w:rPr>
        <w:t xml:space="preserve">MŠMT </w:t>
      </w:r>
      <w:r w:rsidRPr="00D426FA">
        <w:rPr>
          <w:rFonts w:cs="Arial"/>
          <w:bCs/>
          <w:sz w:val="22"/>
          <w:szCs w:val="22"/>
        </w:rPr>
        <w:tab/>
        <w:t>– Ministerstvo školství, mládeže a tělovýchovy České republiky</w:t>
      </w:r>
    </w:p>
    <w:p w:rsidR="00A64035" w:rsidRPr="00D426FA" w:rsidRDefault="00A64035" w:rsidP="00A64035">
      <w:pPr>
        <w:rPr>
          <w:rFonts w:cs="Arial"/>
          <w:bCs/>
          <w:sz w:val="22"/>
          <w:szCs w:val="22"/>
        </w:rPr>
      </w:pPr>
      <w:r w:rsidRPr="00D426FA">
        <w:rPr>
          <w:rFonts w:cs="Arial"/>
          <w:bCs/>
          <w:sz w:val="22"/>
          <w:szCs w:val="22"/>
        </w:rPr>
        <w:t xml:space="preserve">OP LZZ </w:t>
      </w:r>
      <w:r w:rsidRPr="00D426FA">
        <w:rPr>
          <w:rFonts w:cs="Arial"/>
          <w:bCs/>
          <w:sz w:val="22"/>
          <w:szCs w:val="22"/>
        </w:rPr>
        <w:tab/>
        <w:t>– Operační program lidské zdroje a zaměstnanost</w:t>
      </w:r>
    </w:p>
    <w:p w:rsidR="00A64035" w:rsidRPr="00D426FA" w:rsidRDefault="00A64035" w:rsidP="00A64035">
      <w:pPr>
        <w:rPr>
          <w:rFonts w:cs="Arial"/>
          <w:bCs/>
          <w:sz w:val="22"/>
          <w:szCs w:val="22"/>
        </w:rPr>
      </w:pPr>
      <w:r w:rsidRPr="00D426FA">
        <w:rPr>
          <w:rFonts w:cs="Arial"/>
          <w:bCs/>
          <w:sz w:val="22"/>
          <w:szCs w:val="22"/>
        </w:rPr>
        <w:t xml:space="preserve">OSVaZ </w:t>
      </w:r>
      <w:r w:rsidRPr="00D426FA">
        <w:rPr>
          <w:rFonts w:cs="Arial"/>
          <w:bCs/>
          <w:sz w:val="22"/>
          <w:szCs w:val="22"/>
        </w:rPr>
        <w:tab/>
      </w:r>
      <w:r>
        <w:rPr>
          <w:rFonts w:cs="Arial"/>
          <w:bCs/>
          <w:sz w:val="22"/>
          <w:szCs w:val="22"/>
        </w:rPr>
        <w:t>-</w:t>
      </w:r>
      <w:r w:rsidRPr="00D426FA">
        <w:rPr>
          <w:rFonts w:cs="Arial"/>
          <w:bCs/>
          <w:sz w:val="22"/>
          <w:szCs w:val="22"/>
        </w:rPr>
        <w:t xml:space="preserve"> Odbor sociálních věcí a zdravotnictví</w:t>
      </w:r>
    </w:p>
    <w:p w:rsidR="00A64035" w:rsidRPr="00D426FA" w:rsidRDefault="00A64035" w:rsidP="00A64035">
      <w:pPr>
        <w:rPr>
          <w:rFonts w:cs="Arial"/>
          <w:bCs/>
          <w:sz w:val="22"/>
          <w:szCs w:val="22"/>
        </w:rPr>
      </w:pPr>
      <w:r>
        <w:rPr>
          <w:rFonts w:cs="Arial"/>
          <w:bCs/>
          <w:sz w:val="22"/>
          <w:szCs w:val="22"/>
        </w:rPr>
        <w:t>OŠ MMCH</w:t>
      </w:r>
      <w:r>
        <w:rPr>
          <w:rFonts w:cs="Arial"/>
          <w:bCs/>
          <w:sz w:val="22"/>
          <w:szCs w:val="22"/>
        </w:rPr>
        <w:tab/>
        <w:t>-</w:t>
      </w:r>
      <w:r w:rsidRPr="00D426FA">
        <w:rPr>
          <w:rFonts w:cs="Arial"/>
          <w:bCs/>
          <w:sz w:val="22"/>
          <w:szCs w:val="22"/>
        </w:rPr>
        <w:t xml:space="preserve"> Odbor školství Magistrátu města Chomutova</w:t>
      </w:r>
    </w:p>
    <w:p w:rsidR="00A64035" w:rsidRDefault="00A64035" w:rsidP="00A64035">
      <w:pPr>
        <w:rPr>
          <w:rFonts w:cs="Arial"/>
          <w:bCs/>
          <w:sz w:val="22"/>
          <w:szCs w:val="22"/>
        </w:rPr>
      </w:pPr>
      <w:r w:rsidRPr="00D426FA">
        <w:rPr>
          <w:rFonts w:cs="Arial"/>
          <w:sz w:val="22"/>
          <w:szCs w:val="22"/>
        </w:rPr>
        <w:t xml:space="preserve">OZP </w:t>
      </w:r>
      <w:r>
        <w:rPr>
          <w:rFonts w:cs="Arial"/>
          <w:sz w:val="22"/>
          <w:szCs w:val="22"/>
        </w:rPr>
        <w:tab/>
      </w:r>
      <w:r>
        <w:rPr>
          <w:rFonts w:cs="Arial"/>
          <w:sz w:val="22"/>
          <w:szCs w:val="22"/>
        </w:rPr>
        <w:tab/>
      </w:r>
      <w:r w:rsidRPr="00D426FA">
        <w:rPr>
          <w:rFonts w:cs="Arial"/>
          <w:sz w:val="22"/>
          <w:szCs w:val="22"/>
        </w:rPr>
        <w:t>– osoba zdravotně postižená</w:t>
      </w:r>
      <w:r w:rsidRPr="00D426FA">
        <w:rPr>
          <w:rFonts w:cs="Arial"/>
          <w:bCs/>
          <w:sz w:val="22"/>
          <w:szCs w:val="22"/>
        </w:rPr>
        <w:t xml:space="preserve"> </w:t>
      </w:r>
    </w:p>
    <w:p w:rsidR="00A64035" w:rsidRPr="00D426FA" w:rsidRDefault="00A64035" w:rsidP="00A64035">
      <w:pPr>
        <w:rPr>
          <w:rFonts w:cs="Arial"/>
          <w:bCs/>
          <w:sz w:val="22"/>
          <w:szCs w:val="22"/>
        </w:rPr>
      </w:pPr>
      <w:r w:rsidRPr="00D426FA">
        <w:rPr>
          <w:rFonts w:cs="Arial"/>
          <w:bCs/>
          <w:sz w:val="22"/>
          <w:szCs w:val="22"/>
        </w:rPr>
        <w:t xml:space="preserve">PPP </w:t>
      </w:r>
      <w:r w:rsidRPr="00D426FA">
        <w:rPr>
          <w:rFonts w:cs="Arial"/>
          <w:bCs/>
          <w:sz w:val="22"/>
          <w:szCs w:val="22"/>
        </w:rPr>
        <w:tab/>
      </w:r>
      <w:r w:rsidRPr="00D426FA">
        <w:rPr>
          <w:rFonts w:cs="Arial"/>
          <w:bCs/>
          <w:sz w:val="22"/>
          <w:szCs w:val="22"/>
        </w:rPr>
        <w:tab/>
        <w:t>– Pedagogicko-psychologická poradna</w:t>
      </w:r>
    </w:p>
    <w:p w:rsidR="00A64035" w:rsidRPr="00D426FA" w:rsidRDefault="00A64035" w:rsidP="00A64035">
      <w:pPr>
        <w:rPr>
          <w:rFonts w:cs="Arial"/>
          <w:bCs/>
          <w:sz w:val="22"/>
          <w:szCs w:val="22"/>
        </w:rPr>
      </w:pPr>
      <w:r w:rsidRPr="00D426FA">
        <w:rPr>
          <w:rFonts w:cs="Arial"/>
          <w:bCs/>
          <w:sz w:val="22"/>
          <w:szCs w:val="22"/>
        </w:rPr>
        <w:t xml:space="preserve">SKKS </w:t>
      </w:r>
      <w:r w:rsidRPr="00D426FA">
        <w:rPr>
          <w:rFonts w:cs="Arial"/>
          <w:bCs/>
          <w:sz w:val="22"/>
          <w:szCs w:val="22"/>
        </w:rPr>
        <w:tab/>
      </w:r>
      <w:r w:rsidRPr="00D426FA">
        <w:rPr>
          <w:rFonts w:cs="Arial"/>
          <w:bCs/>
          <w:sz w:val="22"/>
          <w:szCs w:val="22"/>
        </w:rPr>
        <w:tab/>
        <w:t>– Středisko kulturních a knihovnických služeb Chomutov</w:t>
      </w:r>
    </w:p>
    <w:p w:rsidR="00A64035" w:rsidRPr="00D426FA" w:rsidRDefault="00A64035" w:rsidP="00A64035">
      <w:pPr>
        <w:rPr>
          <w:rFonts w:cs="Arial"/>
          <w:bCs/>
          <w:sz w:val="22"/>
          <w:szCs w:val="22"/>
        </w:rPr>
      </w:pPr>
      <w:r w:rsidRPr="00D426FA">
        <w:rPr>
          <w:rFonts w:cs="Arial"/>
          <w:bCs/>
          <w:sz w:val="22"/>
          <w:szCs w:val="22"/>
        </w:rPr>
        <w:t xml:space="preserve">SMCH </w:t>
      </w:r>
      <w:r w:rsidRPr="00D426FA">
        <w:rPr>
          <w:rFonts w:cs="Arial"/>
          <w:bCs/>
          <w:sz w:val="22"/>
          <w:szCs w:val="22"/>
        </w:rPr>
        <w:tab/>
        <w:t>– statutární město Chomutov</w:t>
      </w:r>
    </w:p>
    <w:p w:rsidR="00A64035" w:rsidRPr="00D426FA" w:rsidRDefault="00A64035" w:rsidP="00A64035">
      <w:pPr>
        <w:rPr>
          <w:rFonts w:cs="Arial"/>
          <w:bCs/>
          <w:sz w:val="22"/>
          <w:szCs w:val="22"/>
        </w:rPr>
      </w:pPr>
      <w:r w:rsidRPr="00D426FA">
        <w:rPr>
          <w:rFonts w:cs="Arial"/>
          <w:bCs/>
          <w:sz w:val="22"/>
          <w:szCs w:val="22"/>
        </w:rPr>
        <w:t xml:space="preserve">SPC </w:t>
      </w:r>
      <w:r w:rsidRPr="00D426FA">
        <w:rPr>
          <w:rFonts w:cs="Arial"/>
          <w:bCs/>
          <w:sz w:val="22"/>
          <w:szCs w:val="22"/>
        </w:rPr>
        <w:tab/>
      </w:r>
      <w:r w:rsidRPr="00D426FA">
        <w:rPr>
          <w:rFonts w:cs="Arial"/>
          <w:bCs/>
          <w:sz w:val="22"/>
          <w:szCs w:val="22"/>
        </w:rPr>
        <w:tab/>
        <w:t>– speciálně pedagogické centrum</w:t>
      </w:r>
    </w:p>
    <w:p w:rsidR="00A64035" w:rsidRPr="00D426FA" w:rsidRDefault="00A64035" w:rsidP="00A64035">
      <w:pPr>
        <w:rPr>
          <w:rFonts w:cs="Arial"/>
          <w:bCs/>
          <w:sz w:val="22"/>
          <w:szCs w:val="22"/>
        </w:rPr>
      </w:pPr>
      <w:r w:rsidRPr="00D426FA">
        <w:rPr>
          <w:rFonts w:cs="Arial"/>
          <w:bCs/>
          <w:sz w:val="22"/>
          <w:szCs w:val="22"/>
        </w:rPr>
        <w:t xml:space="preserve">SRN </w:t>
      </w:r>
      <w:r w:rsidRPr="00D426FA">
        <w:rPr>
          <w:rFonts w:cs="Arial"/>
          <w:bCs/>
          <w:sz w:val="22"/>
          <w:szCs w:val="22"/>
        </w:rPr>
        <w:tab/>
      </w:r>
      <w:r w:rsidRPr="00D426FA">
        <w:rPr>
          <w:rFonts w:cs="Arial"/>
          <w:bCs/>
          <w:sz w:val="22"/>
          <w:szCs w:val="22"/>
        </w:rPr>
        <w:tab/>
        <w:t>– Spolková republika Německo</w:t>
      </w:r>
    </w:p>
    <w:p w:rsidR="00A64035" w:rsidRPr="00D426FA" w:rsidRDefault="00A64035" w:rsidP="00A64035">
      <w:pPr>
        <w:rPr>
          <w:rFonts w:cs="Arial"/>
          <w:bCs/>
          <w:sz w:val="22"/>
          <w:szCs w:val="22"/>
        </w:rPr>
      </w:pPr>
      <w:r w:rsidRPr="00D426FA">
        <w:rPr>
          <w:rFonts w:cs="Arial"/>
          <w:bCs/>
          <w:sz w:val="22"/>
          <w:szCs w:val="22"/>
        </w:rPr>
        <w:t xml:space="preserve">SŠ </w:t>
      </w:r>
      <w:r w:rsidRPr="00D426FA">
        <w:rPr>
          <w:rFonts w:cs="Arial"/>
          <w:bCs/>
          <w:sz w:val="22"/>
          <w:szCs w:val="22"/>
        </w:rPr>
        <w:tab/>
      </w:r>
      <w:r w:rsidRPr="00D426FA">
        <w:rPr>
          <w:rFonts w:cs="Arial"/>
          <w:bCs/>
          <w:sz w:val="22"/>
          <w:szCs w:val="22"/>
        </w:rPr>
        <w:tab/>
        <w:t>– střední škola</w:t>
      </w:r>
    </w:p>
    <w:p w:rsidR="00A64035" w:rsidRPr="00D426FA" w:rsidRDefault="00A64035" w:rsidP="00A64035">
      <w:pPr>
        <w:rPr>
          <w:rFonts w:cs="Arial"/>
          <w:bCs/>
          <w:sz w:val="22"/>
          <w:szCs w:val="22"/>
        </w:rPr>
      </w:pPr>
      <w:r w:rsidRPr="00D426FA">
        <w:rPr>
          <w:rFonts w:cs="Arial"/>
          <w:bCs/>
          <w:sz w:val="22"/>
          <w:szCs w:val="22"/>
        </w:rPr>
        <w:t xml:space="preserve">SÚPM </w:t>
      </w:r>
      <w:r w:rsidRPr="00D426FA">
        <w:rPr>
          <w:rFonts w:cs="Arial"/>
          <w:bCs/>
          <w:sz w:val="22"/>
          <w:szCs w:val="22"/>
        </w:rPr>
        <w:tab/>
      </w:r>
      <w:r>
        <w:rPr>
          <w:rFonts w:cs="Arial"/>
          <w:bCs/>
          <w:sz w:val="22"/>
          <w:szCs w:val="22"/>
        </w:rPr>
        <w:tab/>
      </w:r>
      <w:r w:rsidRPr="00D426FA">
        <w:rPr>
          <w:rFonts w:cs="Arial"/>
          <w:bCs/>
          <w:sz w:val="22"/>
          <w:szCs w:val="22"/>
        </w:rPr>
        <w:t>– společensky účelná pracovní místa</w:t>
      </w:r>
    </w:p>
    <w:p w:rsidR="00A64035" w:rsidRPr="00D426FA" w:rsidRDefault="00A64035" w:rsidP="00A64035">
      <w:pPr>
        <w:rPr>
          <w:rFonts w:cs="Arial"/>
          <w:bCs/>
          <w:sz w:val="22"/>
          <w:szCs w:val="22"/>
        </w:rPr>
      </w:pPr>
      <w:r w:rsidRPr="00D426FA">
        <w:rPr>
          <w:rFonts w:cs="Arial"/>
          <w:bCs/>
          <w:sz w:val="22"/>
          <w:szCs w:val="22"/>
        </w:rPr>
        <w:t>ŠD</w:t>
      </w:r>
      <w:r w:rsidRPr="00D426FA">
        <w:rPr>
          <w:rFonts w:cs="Arial"/>
          <w:bCs/>
          <w:sz w:val="22"/>
          <w:szCs w:val="22"/>
        </w:rPr>
        <w:tab/>
      </w:r>
      <w:r w:rsidRPr="00D426FA">
        <w:rPr>
          <w:rFonts w:cs="Arial"/>
          <w:bCs/>
          <w:sz w:val="22"/>
          <w:szCs w:val="22"/>
        </w:rPr>
        <w:tab/>
        <w:t>- školní družina</w:t>
      </w:r>
    </w:p>
    <w:p w:rsidR="00A64035" w:rsidRPr="00D426FA" w:rsidRDefault="00A64035" w:rsidP="00A64035">
      <w:pPr>
        <w:rPr>
          <w:rFonts w:cs="Arial"/>
          <w:bCs/>
          <w:sz w:val="22"/>
          <w:szCs w:val="22"/>
        </w:rPr>
      </w:pPr>
      <w:r w:rsidRPr="00D426FA">
        <w:rPr>
          <w:rFonts w:cs="Arial"/>
          <w:bCs/>
          <w:sz w:val="22"/>
          <w:szCs w:val="22"/>
        </w:rPr>
        <w:t xml:space="preserve">ŠJ </w:t>
      </w:r>
      <w:r w:rsidRPr="00D426FA">
        <w:rPr>
          <w:rFonts w:cs="Arial"/>
          <w:bCs/>
          <w:sz w:val="22"/>
          <w:szCs w:val="22"/>
        </w:rPr>
        <w:tab/>
      </w:r>
      <w:r w:rsidRPr="00D426FA">
        <w:rPr>
          <w:rFonts w:cs="Arial"/>
          <w:bCs/>
          <w:sz w:val="22"/>
          <w:szCs w:val="22"/>
        </w:rPr>
        <w:tab/>
        <w:t>– školní jídelna</w:t>
      </w:r>
    </w:p>
    <w:p w:rsidR="00A64035" w:rsidRPr="00D426FA" w:rsidRDefault="00A64035" w:rsidP="00A64035">
      <w:pPr>
        <w:rPr>
          <w:rFonts w:cs="Arial"/>
          <w:bCs/>
          <w:sz w:val="22"/>
          <w:szCs w:val="22"/>
        </w:rPr>
      </w:pPr>
      <w:r w:rsidRPr="00D426FA">
        <w:rPr>
          <w:rFonts w:cs="Arial"/>
          <w:bCs/>
          <w:sz w:val="22"/>
          <w:szCs w:val="22"/>
        </w:rPr>
        <w:t xml:space="preserve">UJEP Ú/L </w:t>
      </w:r>
      <w:r w:rsidRPr="00D426FA">
        <w:rPr>
          <w:rFonts w:cs="Arial"/>
          <w:bCs/>
          <w:sz w:val="22"/>
          <w:szCs w:val="22"/>
        </w:rPr>
        <w:tab/>
        <w:t>– Univerzita Jana Evangelisty Turkyně v Ústí nad Labem</w:t>
      </w:r>
    </w:p>
    <w:p w:rsidR="00A64035" w:rsidRPr="00D426FA" w:rsidRDefault="00A64035" w:rsidP="00A64035">
      <w:pPr>
        <w:rPr>
          <w:rFonts w:cs="Arial"/>
          <w:bCs/>
          <w:sz w:val="22"/>
          <w:szCs w:val="22"/>
        </w:rPr>
      </w:pPr>
      <w:r w:rsidRPr="00D426FA">
        <w:rPr>
          <w:rFonts w:cs="Arial"/>
          <w:bCs/>
          <w:sz w:val="22"/>
          <w:szCs w:val="22"/>
        </w:rPr>
        <w:t>VPP</w:t>
      </w:r>
      <w:r w:rsidRPr="00D426FA">
        <w:rPr>
          <w:rFonts w:cs="Arial"/>
          <w:bCs/>
          <w:sz w:val="22"/>
          <w:szCs w:val="22"/>
        </w:rPr>
        <w:tab/>
      </w:r>
      <w:r w:rsidRPr="00D426FA">
        <w:rPr>
          <w:rFonts w:cs="Arial"/>
          <w:bCs/>
          <w:sz w:val="22"/>
          <w:szCs w:val="22"/>
        </w:rPr>
        <w:tab/>
        <w:t>– veřejně prospěšné práce</w:t>
      </w:r>
    </w:p>
    <w:p w:rsidR="00A64035" w:rsidRPr="00D426FA" w:rsidRDefault="00A64035" w:rsidP="00A64035">
      <w:pPr>
        <w:rPr>
          <w:rFonts w:cs="Arial"/>
          <w:bCs/>
          <w:sz w:val="22"/>
          <w:szCs w:val="22"/>
        </w:rPr>
      </w:pPr>
      <w:r w:rsidRPr="00D426FA">
        <w:rPr>
          <w:rFonts w:cs="Arial"/>
          <w:bCs/>
          <w:sz w:val="22"/>
          <w:szCs w:val="22"/>
        </w:rPr>
        <w:t xml:space="preserve">ZP </w:t>
      </w:r>
      <w:r w:rsidRPr="00D426FA">
        <w:rPr>
          <w:rFonts w:cs="Arial"/>
          <w:bCs/>
          <w:sz w:val="22"/>
          <w:szCs w:val="22"/>
        </w:rPr>
        <w:tab/>
      </w:r>
      <w:r w:rsidRPr="00D426FA">
        <w:rPr>
          <w:rFonts w:cs="Arial"/>
          <w:bCs/>
          <w:sz w:val="22"/>
          <w:szCs w:val="22"/>
        </w:rPr>
        <w:tab/>
        <w:t>– Zákoník práce</w:t>
      </w:r>
    </w:p>
    <w:p w:rsidR="00A64035" w:rsidRPr="00D426FA" w:rsidRDefault="00A64035" w:rsidP="00A64035">
      <w:pPr>
        <w:rPr>
          <w:rFonts w:cs="Arial"/>
          <w:bCs/>
          <w:sz w:val="22"/>
          <w:szCs w:val="22"/>
        </w:rPr>
      </w:pPr>
      <w:r w:rsidRPr="00D426FA">
        <w:rPr>
          <w:rFonts w:cs="Arial"/>
          <w:bCs/>
          <w:sz w:val="22"/>
          <w:szCs w:val="22"/>
        </w:rPr>
        <w:t xml:space="preserve">ZSMCH </w:t>
      </w:r>
      <w:r w:rsidRPr="00D426FA">
        <w:rPr>
          <w:rFonts w:cs="Arial"/>
          <w:bCs/>
          <w:sz w:val="22"/>
          <w:szCs w:val="22"/>
        </w:rPr>
        <w:tab/>
        <w:t>- Zastupitelstvo statutárního města Chomutova</w:t>
      </w:r>
    </w:p>
    <w:p w:rsidR="00A64035" w:rsidRPr="00D426FA" w:rsidRDefault="00A64035" w:rsidP="00A64035">
      <w:pPr>
        <w:rPr>
          <w:rFonts w:cs="Arial"/>
          <w:bCs/>
          <w:sz w:val="22"/>
          <w:szCs w:val="22"/>
        </w:rPr>
      </w:pPr>
      <w:r w:rsidRPr="00D426FA">
        <w:rPr>
          <w:rFonts w:cs="Arial"/>
          <w:bCs/>
          <w:sz w:val="22"/>
          <w:szCs w:val="22"/>
        </w:rPr>
        <w:t>ZŠ</w:t>
      </w:r>
      <w:r w:rsidRPr="00D426FA">
        <w:rPr>
          <w:rFonts w:cs="Arial"/>
          <w:bCs/>
          <w:sz w:val="22"/>
          <w:szCs w:val="22"/>
        </w:rPr>
        <w:tab/>
      </w:r>
      <w:r w:rsidRPr="00D426FA">
        <w:rPr>
          <w:rFonts w:cs="Arial"/>
          <w:bCs/>
          <w:sz w:val="22"/>
          <w:szCs w:val="22"/>
        </w:rPr>
        <w:tab/>
        <w:t xml:space="preserve">– základní škola </w:t>
      </w:r>
    </w:p>
    <w:p w:rsidR="00A64035" w:rsidRPr="00D426FA" w:rsidRDefault="00A64035" w:rsidP="00A64035">
      <w:pPr>
        <w:jc w:val="both"/>
        <w:rPr>
          <w:rFonts w:cs="Arial"/>
          <w:sz w:val="22"/>
          <w:szCs w:val="22"/>
        </w:rPr>
      </w:pPr>
    </w:p>
    <w:p w:rsidR="00A64035" w:rsidRPr="00D426FA" w:rsidRDefault="00A64035" w:rsidP="00A64035">
      <w:pPr>
        <w:rPr>
          <w:rFonts w:cs="Arial"/>
          <w:bCs/>
          <w:sz w:val="22"/>
          <w:szCs w:val="22"/>
        </w:rPr>
      </w:pPr>
    </w:p>
    <w:p w:rsidR="00A64035" w:rsidRDefault="00A64035" w:rsidP="00A64035">
      <w:pPr>
        <w:rPr>
          <w:bCs/>
          <w:sz w:val="28"/>
          <w:szCs w:val="28"/>
        </w:rPr>
      </w:pPr>
    </w:p>
    <w:p w:rsidR="00A64035" w:rsidRPr="00406C54" w:rsidRDefault="00A64035" w:rsidP="00A64035"/>
    <w:p w:rsidR="00A64035" w:rsidRDefault="00A64035" w:rsidP="00A64035"/>
    <w:p w:rsidR="00247368" w:rsidRDefault="00247368" w:rsidP="00A64035">
      <w:pPr>
        <w:pStyle w:val="Zkladntext"/>
        <w:tabs>
          <w:tab w:val="clear" w:pos="0"/>
          <w:tab w:val="left" w:pos="-1843"/>
          <w:tab w:val="left" w:pos="-1560"/>
        </w:tabs>
        <w:spacing w:before="120"/>
        <w:rPr>
          <w:rFonts w:ascii="Calibri" w:hAnsi="Calibri"/>
          <w:b w:val="0"/>
          <w:sz w:val="24"/>
          <w:szCs w:val="24"/>
        </w:rPr>
      </w:pPr>
    </w:p>
    <w:p w:rsidR="00B44DF6" w:rsidRDefault="00B44DF6" w:rsidP="00957AAC">
      <w:pPr>
        <w:pStyle w:val="Zkladntext"/>
        <w:tabs>
          <w:tab w:val="clear" w:pos="0"/>
          <w:tab w:val="left" w:pos="-1843"/>
          <w:tab w:val="left" w:pos="-1560"/>
        </w:tabs>
        <w:spacing w:before="120"/>
        <w:jc w:val="right"/>
        <w:rPr>
          <w:rFonts w:ascii="Calibri" w:hAnsi="Calibri"/>
          <w:b w:val="0"/>
          <w:sz w:val="24"/>
          <w:szCs w:val="24"/>
        </w:rPr>
      </w:pPr>
    </w:p>
    <w:p w:rsidR="00B44DF6" w:rsidRDefault="00B44DF6" w:rsidP="00957AAC">
      <w:pPr>
        <w:pStyle w:val="Zkladntext"/>
        <w:tabs>
          <w:tab w:val="clear" w:pos="0"/>
          <w:tab w:val="left" w:pos="-1843"/>
          <w:tab w:val="left" w:pos="-1560"/>
        </w:tabs>
        <w:spacing w:before="120"/>
        <w:jc w:val="right"/>
        <w:rPr>
          <w:rFonts w:ascii="Calibri" w:hAnsi="Calibri"/>
          <w:b w:val="0"/>
          <w:sz w:val="24"/>
          <w:szCs w:val="24"/>
        </w:rPr>
      </w:pPr>
    </w:p>
    <w:p w:rsidR="00B44DF6" w:rsidRDefault="00B44DF6" w:rsidP="00957AAC">
      <w:pPr>
        <w:pStyle w:val="Zkladntext"/>
        <w:tabs>
          <w:tab w:val="clear" w:pos="0"/>
          <w:tab w:val="left" w:pos="-1843"/>
          <w:tab w:val="left" w:pos="-1560"/>
        </w:tabs>
        <w:spacing w:before="120"/>
        <w:jc w:val="right"/>
        <w:rPr>
          <w:rFonts w:ascii="Calibri" w:hAnsi="Calibri"/>
          <w:b w:val="0"/>
          <w:sz w:val="24"/>
          <w:szCs w:val="24"/>
        </w:rPr>
      </w:pPr>
    </w:p>
    <w:sectPr w:rsidR="00B44DF6" w:rsidSect="006B3503">
      <w:pgSz w:w="11906" w:h="16838" w:code="9"/>
      <w:pgMar w:top="567" w:right="1134" w:bottom="851" w:left="1134" w:header="0"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F55" w:rsidRDefault="00B34F55">
      <w:r>
        <w:separator/>
      </w:r>
    </w:p>
  </w:endnote>
  <w:endnote w:type="continuationSeparator" w:id="0">
    <w:p w:rsidR="00B34F55" w:rsidRDefault="00B3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4A" w:rsidRDefault="0048328C" w:rsidP="0075074A">
    <w:pPr>
      <w:pStyle w:val="Zpat"/>
      <w:jc w:val="right"/>
    </w:pPr>
    <w:r>
      <w:rPr>
        <w:noProof/>
      </w:rPr>
      <mc:AlternateContent>
        <mc:Choice Requires="wpg">
          <w:drawing>
            <wp:inline distT="0" distB="0" distL="0" distR="0">
              <wp:extent cx="548640" cy="237490"/>
              <wp:effectExtent l="9525" t="9525" r="13335" b="10160"/>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5"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6"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74A" w:rsidRPr="00DF5352" w:rsidRDefault="0075074A">
                            <w:pPr>
                              <w:jc w:val="center"/>
                              <w:rPr>
                                <w:color w:val="FFFFFF"/>
                              </w:rPr>
                            </w:pPr>
                            <w:r>
                              <w:fldChar w:fldCharType="begin"/>
                            </w:r>
                            <w:r>
                              <w:instrText xml:space="preserve"> PAGE    \* MERGEFORMAT </w:instrText>
                            </w:r>
                            <w:r>
                              <w:fldChar w:fldCharType="separate"/>
                            </w:r>
                            <w:r w:rsidR="00DB0528" w:rsidRPr="00DB0528">
                              <w:rPr>
                                <w:b/>
                                <w:noProof/>
                                <w:color w:val="FFFFFF"/>
                              </w:rPr>
                              <w:t>28</w:t>
                            </w:r>
                            <w:r>
                              <w:fldChar w:fldCharType="end"/>
                            </w:r>
                          </w:p>
                        </w:txbxContent>
                      </wps:txbx>
                      <wps:bodyPr rot="0" vert="horz" wrap="square" lIns="0" tIns="0" rIns="0" bIns="0" anchor="t" anchorCtr="0" upright="1">
                        <a:noAutofit/>
                      </wps:bodyPr>
                    </wps:wsp>
                  </wpg:wgp>
                </a:graphicData>
              </a:graphic>
            </wp:inline>
          </w:drawing>
        </mc:Choice>
        <mc:Fallback>
          <w:pict>
            <v:group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">
              <v:roundrect id="AutoShape 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Ewr8A&#10;AADbAAAADwAAAGRycy9kb3ducmV2LnhtbERPS4vCMBC+L/gfwgje1tRFFqlGUVnRm/hAPA7N2Eab&#10;SWlirf/eLAje5uN7zmTW2lI0VHvjWMGgn4Agzpw2nCs4HlbfIxA+IGssHZOCJ3mYTTtfE0y1e/CO&#10;mn3IRQxhn6KCIoQqldJnBVn0fVcRR+7iaoshwjqXusZHDLel/EmSX2nRcGwosKJlQdltf7cKjF//&#10;XROPaE6rZvTcbc/rhTkr1eu28zGIQG34iN/ujY7zh/D/SzxAT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cgTCvwAAANsAAAAPAAAAAAAAAAAAAAAAAJgCAABkcnMvZG93bnJl&#10;di54bWxQSwUGAAAAAAQABAD1AAAAhAMAAAAA&#10;" strokecolor="#c4bc96"/>
              <v:roundrect id="AutoShape 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Y2sIA&#10;AADbAAAADwAAAGRycy9kb3ducmV2LnhtbERPTWvCQBC9F/wPywi91Y0trRKzCWIR2otQFfQ4ZMds&#10;SHY2ZNck/ffdQqG3ebzPyYrJtmKg3teOFSwXCQji0umaKwXn0/5pDcIHZI2tY1LwTR6KfPaQYard&#10;yF80HEMlYgj7FBWYELpUSl8asugXriOO3M31FkOEfSV1j2MMt618TpI3abHm2GCwo52hsjnerYLD&#10;tV6tP4dzczj58r29Xsz4gpNSj/NpuwERaAr/4j/3h47zX+H3l3i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1jawgAAANsAAAAPAAAAAAAAAAAAAAAAAJgCAABkcnMvZG93&#10;bnJldi54bWxQSwUGAAAAAAQABAD1AAAAhwMAAAAA&#10;" fillcolor="#c4bc96" strokecolor="#c4bc96"/>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75074A" w:rsidRPr="00DF5352" w:rsidRDefault="0075074A">
                      <w:pPr>
                        <w:jc w:val="center"/>
                        <w:rPr>
                          <w:color w:val="FFFFFF"/>
                        </w:rPr>
                      </w:pPr>
                      <w:r>
                        <w:fldChar w:fldCharType="begin"/>
                      </w:r>
                      <w:r>
                        <w:instrText xml:space="preserve"> PAGE    \* MERGEFORMAT </w:instrText>
                      </w:r>
                      <w:r>
                        <w:fldChar w:fldCharType="separate"/>
                      </w:r>
                      <w:r w:rsidR="00DB0528" w:rsidRPr="00DB0528">
                        <w:rPr>
                          <w:b/>
                          <w:noProof/>
                          <w:color w:val="FFFFFF"/>
                        </w:rPr>
                        <w:t>28</w:t>
                      </w:r>
                      <w:r>
                        <w:fldChar w:fldCharType="end"/>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F55" w:rsidRDefault="00B34F55">
      <w:r>
        <w:separator/>
      </w:r>
    </w:p>
  </w:footnote>
  <w:footnote w:type="continuationSeparator" w:id="0">
    <w:p w:rsidR="00B34F55" w:rsidRDefault="00B34F55">
      <w:r>
        <w:continuationSeparator/>
      </w:r>
    </w:p>
  </w:footnote>
  <w:footnote w:id="1">
    <w:p w:rsidR="0075074A" w:rsidRDefault="0075074A" w:rsidP="00A64035">
      <w:pPr>
        <w:pStyle w:val="Textpoznpodarou"/>
      </w:pPr>
      <w:r>
        <w:rPr>
          <w:rStyle w:val="Znakapoznpodarou"/>
        </w:rPr>
        <w:footnoteRef/>
      </w:r>
      <w:r>
        <w:t xml:space="preserve"> OSVČ s povinností platit zálohy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4A" w:rsidRPr="00387C96" w:rsidRDefault="0075074A" w:rsidP="0075074A">
    <w:pPr>
      <w:autoSpaceDE w:val="0"/>
      <w:autoSpaceDN w:val="0"/>
      <w:adjustRightInd w:val="0"/>
      <w:jc w:val="right"/>
      <w:rPr>
        <w:rFonts w:cs="Calibri"/>
        <w:bCs/>
        <w:sz w:val="20"/>
        <w:szCs w:val="24"/>
      </w:rPr>
    </w:pPr>
    <w:r w:rsidRPr="00387C96">
      <w:rPr>
        <w:rFonts w:cs="Calibri"/>
        <w:bCs/>
        <w:sz w:val="20"/>
        <w:szCs w:val="24"/>
      </w:rPr>
      <w:t>Dlouhodobý záměr rozvoje vzdělávání a vzdělávací soustavy</w:t>
    </w:r>
  </w:p>
  <w:p w:rsidR="0075074A" w:rsidRPr="00387C96" w:rsidRDefault="0075074A" w:rsidP="0075074A">
    <w:pPr>
      <w:autoSpaceDE w:val="0"/>
      <w:autoSpaceDN w:val="0"/>
      <w:adjustRightInd w:val="0"/>
      <w:jc w:val="right"/>
      <w:rPr>
        <w:rFonts w:cs="Calibri"/>
        <w:bCs/>
        <w:sz w:val="20"/>
        <w:szCs w:val="24"/>
      </w:rPr>
    </w:pPr>
    <w:r w:rsidRPr="00387C96">
      <w:rPr>
        <w:rFonts w:cs="Calibri"/>
        <w:bCs/>
        <w:sz w:val="20"/>
        <w:szCs w:val="24"/>
      </w:rPr>
      <w:t xml:space="preserve">a podpory zaměstnanosti </w:t>
    </w:r>
  </w:p>
  <w:p w:rsidR="0075074A" w:rsidRDefault="0075074A" w:rsidP="0075074A">
    <w:pPr>
      <w:autoSpaceDE w:val="0"/>
      <w:autoSpaceDN w:val="0"/>
      <w:adjustRightInd w:val="0"/>
      <w:jc w:val="right"/>
      <w:rPr>
        <w:rFonts w:cs="Calibri"/>
        <w:bCs/>
        <w:sz w:val="20"/>
        <w:szCs w:val="24"/>
      </w:rPr>
    </w:pPr>
    <w:r w:rsidRPr="00387C96">
      <w:rPr>
        <w:rFonts w:cs="Calibri"/>
        <w:bCs/>
        <w:sz w:val="20"/>
        <w:szCs w:val="24"/>
      </w:rPr>
      <w:t>na území města Chomutova do roku 2020</w:t>
    </w:r>
  </w:p>
  <w:p w:rsidR="0075074A" w:rsidRPr="00D04A40" w:rsidRDefault="0075074A" w:rsidP="0075074A">
    <w:pPr>
      <w:autoSpaceDE w:val="0"/>
      <w:autoSpaceDN w:val="0"/>
      <w:adjustRightInd w:val="0"/>
      <w:jc w:val="right"/>
      <w:rPr>
        <w:rFonts w:cs="Calibri"/>
        <w:b/>
        <w:bCs/>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4A" w:rsidRPr="00D04A40" w:rsidRDefault="0075074A" w:rsidP="0075074A">
    <w:pPr>
      <w:autoSpaceDE w:val="0"/>
      <w:autoSpaceDN w:val="0"/>
      <w:adjustRightInd w:val="0"/>
      <w:jc w:val="right"/>
      <w:rPr>
        <w:rFonts w:cs="Calibri"/>
        <w:b/>
        <w:bCs/>
        <w:szCs w:val="24"/>
      </w:rPr>
    </w:pPr>
    <w:r w:rsidRPr="00D04A40">
      <w:rPr>
        <w:rFonts w:cs="Calibri"/>
        <w:b/>
        <w:bCs/>
        <w:szCs w:val="24"/>
      </w:rPr>
      <w:t>Dlouhodobý záměr vzdělávání a rozvoje vzdělávací soustavy a zaměstnanosti na území města Chomutov do roku 2020</w:t>
    </w:r>
  </w:p>
  <w:p w:rsidR="0075074A" w:rsidRPr="00D04A40" w:rsidRDefault="0075074A" w:rsidP="0075074A">
    <w:pPr>
      <w:pBdr>
        <w:bottom w:val="single" w:sz="6" w:space="1" w:color="auto"/>
      </w:pBdr>
      <w:autoSpaceDE w:val="0"/>
      <w:autoSpaceDN w:val="0"/>
      <w:adjustRightInd w:val="0"/>
      <w:jc w:val="right"/>
      <w:rPr>
        <w:rFonts w:cs="Calibri"/>
        <w:b/>
        <w:sz w:val="16"/>
        <w:szCs w:val="16"/>
      </w:rPr>
    </w:pPr>
    <w:r w:rsidRPr="00D04A40">
      <w:rPr>
        <w:rFonts w:cs="Calibri"/>
        <w:b/>
        <w:bCs/>
        <w:sz w:val="16"/>
        <w:szCs w:val="16"/>
      </w:rPr>
      <w:t>5. PŘÍLOHOVÁ ČÁST</w:t>
    </w:r>
  </w:p>
  <w:p w:rsidR="0075074A" w:rsidRPr="00705542" w:rsidRDefault="0075074A" w:rsidP="0075074A">
    <w:pPr>
      <w:autoSpaceDE w:val="0"/>
      <w:autoSpaceDN w:val="0"/>
      <w:adjustRightInd w:val="0"/>
      <w:rPr>
        <w:rFonts w:ascii="Times New Roman" w:hAnsi="Times New Roman"/>
        <w:b/>
        <w:bCs/>
        <w:szCs w:val="24"/>
      </w:rPr>
    </w:pPr>
  </w:p>
  <w:p w:rsidR="0075074A" w:rsidRDefault="0075074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4A" w:rsidRPr="00387C96" w:rsidRDefault="0075074A" w:rsidP="0075074A">
    <w:pPr>
      <w:autoSpaceDE w:val="0"/>
      <w:autoSpaceDN w:val="0"/>
      <w:adjustRightInd w:val="0"/>
      <w:jc w:val="right"/>
      <w:rPr>
        <w:rFonts w:cs="Calibri"/>
        <w:bCs/>
        <w:sz w:val="20"/>
        <w:szCs w:val="24"/>
      </w:rPr>
    </w:pPr>
    <w:r w:rsidRPr="00387C96">
      <w:rPr>
        <w:rFonts w:cs="Calibri"/>
        <w:bCs/>
        <w:sz w:val="20"/>
        <w:szCs w:val="24"/>
      </w:rPr>
      <w:t>Dlouhodobý záměr rozvoje vzdělávání a vzdělávací soustavy</w:t>
    </w:r>
  </w:p>
  <w:p w:rsidR="0075074A" w:rsidRPr="00387C96" w:rsidRDefault="0075074A" w:rsidP="0075074A">
    <w:pPr>
      <w:autoSpaceDE w:val="0"/>
      <w:autoSpaceDN w:val="0"/>
      <w:adjustRightInd w:val="0"/>
      <w:jc w:val="right"/>
      <w:rPr>
        <w:rFonts w:cs="Calibri"/>
        <w:bCs/>
        <w:sz w:val="20"/>
        <w:szCs w:val="24"/>
      </w:rPr>
    </w:pPr>
    <w:r w:rsidRPr="00387C96">
      <w:rPr>
        <w:rFonts w:cs="Calibri"/>
        <w:bCs/>
        <w:sz w:val="20"/>
        <w:szCs w:val="24"/>
      </w:rPr>
      <w:t xml:space="preserve">a podpory zaměstnanosti </w:t>
    </w:r>
  </w:p>
  <w:p w:rsidR="0075074A" w:rsidRDefault="0075074A" w:rsidP="0075074A">
    <w:pPr>
      <w:autoSpaceDE w:val="0"/>
      <w:autoSpaceDN w:val="0"/>
      <w:adjustRightInd w:val="0"/>
      <w:jc w:val="right"/>
      <w:rPr>
        <w:rFonts w:cs="Calibri"/>
        <w:bCs/>
        <w:sz w:val="20"/>
        <w:szCs w:val="24"/>
      </w:rPr>
    </w:pPr>
    <w:r w:rsidRPr="00387C96">
      <w:rPr>
        <w:rFonts w:cs="Calibri"/>
        <w:bCs/>
        <w:sz w:val="20"/>
        <w:szCs w:val="24"/>
      </w:rPr>
      <w:t>na území města Chomutova do roku 2020</w:t>
    </w:r>
  </w:p>
  <w:p w:rsidR="0075074A" w:rsidRPr="00D04A40" w:rsidRDefault="0075074A" w:rsidP="0075074A">
    <w:pPr>
      <w:autoSpaceDE w:val="0"/>
      <w:autoSpaceDN w:val="0"/>
      <w:adjustRightInd w:val="0"/>
      <w:jc w:val="right"/>
      <w:rPr>
        <w:rFonts w:cs="Calibri"/>
        <w:b/>
        <w:bCs/>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4A" w:rsidRPr="00387C96" w:rsidRDefault="0075074A" w:rsidP="0075074A">
    <w:pPr>
      <w:autoSpaceDE w:val="0"/>
      <w:autoSpaceDN w:val="0"/>
      <w:adjustRightInd w:val="0"/>
      <w:jc w:val="right"/>
      <w:rPr>
        <w:rFonts w:cs="Calibri"/>
        <w:bCs/>
        <w:sz w:val="20"/>
        <w:szCs w:val="24"/>
      </w:rPr>
    </w:pPr>
    <w:r w:rsidRPr="00387C96">
      <w:rPr>
        <w:rFonts w:cs="Calibri"/>
        <w:bCs/>
        <w:sz w:val="20"/>
        <w:szCs w:val="24"/>
      </w:rPr>
      <w:t>Dlouhodobý záměr rozvoje vzdělávání a vzdělávací soustavy</w:t>
    </w:r>
  </w:p>
  <w:p w:rsidR="0075074A" w:rsidRPr="00387C96" w:rsidRDefault="0075074A" w:rsidP="0075074A">
    <w:pPr>
      <w:autoSpaceDE w:val="0"/>
      <w:autoSpaceDN w:val="0"/>
      <w:adjustRightInd w:val="0"/>
      <w:jc w:val="right"/>
      <w:rPr>
        <w:rFonts w:cs="Calibri"/>
        <w:bCs/>
        <w:sz w:val="20"/>
        <w:szCs w:val="24"/>
      </w:rPr>
    </w:pPr>
    <w:r w:rsidRPr="00387C96">
      <w:rPr>
        <w:rFonts w:cs="Calibri"/>
        <w:bCs/>
        <w:sz w:val="20"/>
        <w:szCs w:val="24"/>
      </w:rPr>
      <w:t xml:space="preserve">a podpory zaměstnanosti </w:t>
    </w:r>
  </w:p>
  <w:p w:rsidR="0075074A" w:rsidRDefault="0075074A" w:rsidP="0075074A">
    <w:pPr>
      <w:autoSpaceDE w:val="0"/>
      <w:autoSpaceDN w:val="0"/>
      <w:adjustRightInd w:val="0"/>
      <w:jc w:val="right"/>
      <w:rPr>
        <w:rFonts w:cs="Calibri"/>
        <w:bCs/>
        <w:sz w:val="20"/>
        <w:szCs w:val="24"/>
      </w:rPr>
    </w:pPr>
    <w:r w:rsidRPr="00387C96">
      <w:rPr>
        <w:rFonts w:cs="Calibri"/>
        <w:bCs/>
        <w:sz w:val="20"/>
        <w:szCs w:val="24"/>
      </w:rPr>
      <w:t>na území města Chomutova do roku 2020</w:t>
    </w:r>
  </w:p>
  <w:p w:rsidR="0075074A" w:rsidRPr="00881DEE" w:rsidRDefault="0075074A" w:rsidP="0075074A">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74A" w:rsidRPr="00387C96" w:rsidRDefault="0075074A" w:rsidP="0075074A">
    <w:pPr>
      <w:autoSpaceDE w:val="0"/>
      <w:autoSpaceDN w:val="0"/>
      <w:adjustRightInd w:val="0"/>
      <w:jc w:val="right"/>
      <w:rPr>
        <w:rFonts w:cs="Calibri"/>
        <w:bCs/>
        <w:sz w:val="20"/>
        <w:szCs w:val="24"/>
      </w:rPr>
    </w:pPr>
    <w:r w:rsidRPr="00387C96">
      <w:rPr>
        <w:rFonts w:cs="Calibri"/>
        <w:bCs/>
        <w:sz w:val="20"/>
        <w:szCs w:val="24"/>
      </w:rPr>
      <w:t>Dlouhodobý záměr rozvoje vzdělávání a vzdělávací soustavy</w:t>
    </w:r>
  </w:p>
  <w:p w:rsidR="0075074A" w:rsidRPr="00387C96" w:rsidRDefault="0075074A" w:rsidP="0075074A">
    <w:pPr>
      <w:autoSpaceDE w:val="0"/>
      <w:autoSpaceDN w:val="0"/>
      <w:adjustRightInd w:val="0"/>
      <w:jc w:val="right"/>
      <w:rPr>
        <w:rFonts w:cs="Calibri"/>
        <w:bCs/>
        <w:sz w:val="20"/>
        <w:szCs w:val="24"/>
      </w:rPr>
    </w:pPr>
    <w:r w:rsidRPr="00387C96">
      <w:rPr>
        <w:rFonts w:cs="Calibri"/>
        <w:bCs/>
        <w:sz w:val="20"/>
        <w:szCs w:val="24"/>
      </w:rPr>
      <w:t xml:space="preserve">a podpory zaměstnanosti </w:t>
    </w:r>
  </w:p>
  <w:p w:rsidR="0075074A" w:rsidRDefault="0075074A" w:rsidP="0075074A">
    <w:pPr>
      <w:autoSpaceDE w:val="0"/>
      <w:autoSpaceDN w:val="0"/>
      <w:adjustRightInd w:val="0"/>
      <w:jc w:val="right"/>
      <w:rPr>
        <w:rFonts w:cs="Calibri"/>
        <w:bCs/>
        <w:sz w:val="20"/>
        <w:szCs w:val="24"/>
      </w:rPr>
    </w:pPr>
    <w:r w:rsidRPr="00387C96">
      <w:rPr>
        <w:rFonts w:cs="Calibri"/>
        <w:bCs/>
        <w:sz w:val="20"/>
        <w:szCs w:val="24"/>
      </w:rPr>
      <w:t>na území města Chomutova do roku 2020</w:t>
    </w:r>
  </w:p>
  <w:p w:rsidR="0075074A" w:rsidRDefault="0075074A" w:rsidP="0075074A">
    <w:pPr>
      <w:autoSpaceDE w:val="0"/>
      <w:autoSpaceDN w:val="0"/>
      <w:adjustRightInd w:val="0"/>
      <w:jc w:val="right"/>
      <w:rPr>
        <w:rFonts w:cs="Calibri"/>
        <w:bCs/>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A20"/>
    <w:multiLevelType w:val="hybridMultilevel"/>
    <w:tmpl w:val="38B0FFC4"/>
    <w:lvl w:ilvl="0" w:tplc="69E4B610">
      <w:start w:val="1"/>
      <w:numFmt w:val="bullet"/>
      <w:lvlText w:val="–"/>
      <w:lvlJc w:val="left"/>
      <w:pPr>
        <w:ind w:left="1080" w:hanging="360"/>
      </w:pPr>
      <w:rPr>
        <w:rFonts w:ascii="Calibri"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nsid w:val="03C262C6"/>
    <w:multiLevelType w:val="hybridMultilevel"/>
    <w:tmpl w:val="45B6E4D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5F94131"/>
    <w:multiLevelType w:val="hybridMultilevel"/>
    <w:tmpl w:val="7E6A35F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846B9E"/>
    <w:multiLevelType w:val="hybridMultilevel"/>
    <w:tmpl w:val="C2409A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F11939"/>
    <w:multiLevelType w:val="hybridMultilevel"/>
    <w:tmpl w:val="CF22FD1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10F1250E"/>
    <w:multiLevelType w:val="hybridMultilevel"/>
    <w:tmpl w:val="F0E63512"/>
    <w:lvl w:ilvl="0" w:tplc="7BECA0D4">
      <w:start w:val="1"/>
      <w:numFmt w:val="bullet"/>
      <w:pStyle w:val="Nadpis3"/>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0FD7530"/>
    <w:multiLevelType w:val="hybridMultilevel"/>
    <w:tmpl w:val="ECEE00E6"/>
    <w:lvl w:ilvl="0" w:tplc="04050005">
      <w:start w:val="1"/>
      <w:numFmt w:val="bullet"/>
      <w:lvlText w:val=""/>
      <w:lvlJc w:val="left"/>
      <w:pPr>
        <w:ind w:left="1080" w:hanging="360"/>
      </w:pPr>
      <w:rPr>
        <w:rFonts w:ascii="Wingdings" w:hAnsi="Wingdings" w:hint="default"/>
      </w:rPr>
    </w:lvl>
    <w:lvl w:ilvl="1" w:tplc="80FA835A">
      <w:numFmt w:val="bullet"/>
      <w:lvlText w:val="·"/>
      <w:lvlJc w:val="left"/>
      <w:pPr>
        <w:ind w:left="1800" w:hanging="360"/>
      </w:pPr>
      <w:rPr>
        <w:rFonts w:ascii="Calibri" w:eastAsia="Calibri" w:hAnsi="Calibri" w:cs="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206284D"/>
    <w:multiLevelType w:val="hybridMultilevel"/>
    <w:tmpl w:val="9FAC2E02"/>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69E4B610">
      <w:start w:val="1"/>
      <w:numFmt w:val="bullet"/>
      <w:lvlText w:val="–"/>
      <w:lvlJc w:val="left"/>
      <w:pPr>
        <w:ind w:left="2160" w:hanging="360"/>
      </w:pPr>
      <w:rPr>
        <w:rFonts w:ascii="Calibri" w:hAnsi="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7569A4"/>
    <w:multiLevelType w:val="hybridMultilevel"/>
    <w:tmpl w:val="234ECB4A"/>
    <w:lvl w:ilvl="0" w:tplc="04050005">
      <w:start w:val="1"/>
      <w:numFmt w:val="bullet"/>
      <w:lvlText w:val=""/>
      <w:lvlJc w:val="left"/>
      <w:pPr>
        <w:ind w:left="1080" w:hanging="360"/>
      </w:pPr>
      <w:rPr>
        <w:rFonts w:ascii="Wingdings" w:hAnsi="Wingdings" w:hint="default"/>
      </w:rPr>
    </w:lvl>
    <w:lvl w:ilvl="1" w:tplc="69E4B610">
      <w:start w:val="1"/>
      <w:numFmt w:val="bullet"/>
      <w:lvlText w:val="–"/>
      <w:lvlJc w:val="left"/>
      <w:pPr>
        <w:ind w:left="1800" w:hanging="360"/>
      </w:pPr>
      <w:rPr>
        <w:rFonts w:ascii="Calibri" w:hAnsi="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858145B"/>
    <w:multiLevelType w:val="hybridMultilevel"/>
    <w:tmpl w:val="895AD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F31BED"/>
    <w:multiLevelType w:val="hybridMultilevel"/>
    <w:tmpl w:val="38E41592"/>
    <w:lvl w:ilvl="0" w:tplc="69E4B61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7B00AC"/>
    <w:multiLevelType w:val="hybridMultilevel"/>
    <w:tmpl w:val="E1BA27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8ED4EA9"/>
    <w:multiLevelType w:val="hybridMultilevel"/>
    <w:tmpl w:val="FD9E1C9E"/>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2A344BBD"/>
    <w:multiLevelType w:val="hybridMultilevel"/>
    <w:tmpl w:val="B2FA8CCA"/>
    <w:lvl w:ilvl="0" w:tplc="04050005">
      <w:start w:val="1"/>
      <w:numFmt w:val="bullet"/>
      <w:lvlText w:val=""/>
      <w:lvlJc w:val="left"/>
      <w:pPr>
        <w:ind w:left="1080" w:hanging="360"/>
      </w:pPr>
      <w:rPr>
        <w:rFonts w:ascii="Wingdings" w:hAnsi="Wingdings" w:hint="default"/>
      </w:rPr>
    </w:lvl>
    <w:lvl w:ilvl="1" w:tplc="80FA835A">
      <w:numFmt w:val="bullet"/>
      <w:lvlText w:val="·"/>
      <w:lvlJc w:val="left"/>
      <w:pPr>
        <w:ind w:left="1800" w:hanging="360"/>
      </w:pPr>
      <w:rPr>
        <w:rFonts w:ascii="Calibri" w:eastAsia="Calibri" w:hAnsi="Calibri" w:cs="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DE319EA"/>
    <w:multiLevelType w:val="multilevel"/>
    <w:tmpl w:val="AF0A92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036326D"/>
    <w:multiLevelType w:val="hybridMultilevel"/>
    <w:tmpl w:val="9A24DB5A"/>
    <w:lvl w:ilvl="0" w:tplc="69E4B610">
      <w:start w:val="1"/>
      <w:numFmt w:val="bullet"/>
      <w:lvlText w:val="–"/>
      <w:lvlJc w:val="left"/>
      <w:pPr>
        <w:ind w:left="1080" w:hanging="360"/>
      </w:pPr>
      <w:rPr>
        <w:rFonts w:ascii="Calibri"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nsid w:val="32117F9D"/>
    <w:multiLevelType w:val="multilevel"/>
    <w:tmpl w:val="FA9253C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D1B03EC"/>
    <w:multiLevelType w:val="hybridMultilevel"/>
    <w:tmpl w:val="28EEAE60"/>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272150"/>
    <w:multiLevelType w:val="hybridMultilevel"/>
    <w:tmpl w:val="89DC20B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3E8B13A5"/>
    <w:multiLevelType w:val="hybridMultilevel"/>
    <w:tmpl w:val="9FC0F2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24934E2"/>
    <w:multiLevelType w:val="hybridMultilevel"/>
    <w:tmpl w:val="D10A12B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35542968">
      <w:start w:val="2"/>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60F5E98"/>
    <w:multiLevelType w:val="hybridMultilevel"/>
    <w:tmpl w:val="541062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62B21B2"/>
    <w:multiLevelType w:val="multilevel"/>
    <w:tmpl w:val="4E20A8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DB31960"/>
    <w:multiLevelType w:val="hybridMultilevel"/>
    <w:tmpl w:val="1E0CFB5E"/>
    <w:lvl w:ilvl="0" w:tplc="04050005">
      <w:start w:val="1"/>
      <w:numFmt w:val="bullet"/>
      <w:lvlText w:val=""/>
      <w:lvlJc w:val="left"/>
      <w:pPr>
        <w:ind w:left="1080" w:hanging="360"/>
      </w:pPr>
      <w:rPr>
        <w:rFonts w:ascii="Wingdings" w:hAnsi="Wingdings" w:hint="default"/>
      </w:rPr>
    </w:lvl>
    <w:lvl w:ilvl="1" w:tplc="69E4B610">
      <w:start w:val="1"/>
      <w:numFmt w:val="bullet"/>
      <w:lvlText w:val="–"/>
      <w:lvlJc w:val="left"/>
      <w:pPr>
        <w:ind w:left="1800" w:hanging="360"/>
      </w:pPr>
      <w:rPr>
        <w:rFonts w:ascii="Calibri" w:hAnsi="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E36440F"/>
    <w:multiLevelType w:val="hybridMultilevel"/>
    <w:tmpl w:val="618EF7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E747974"/>
    <w:multiLevelType w:val="hybridMultilevel"/>
    <w:tmpl w:val="57DCE7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DB05BB"/>
    <w:multiLevelType w:val="hybridMultilevel"/>
    <w:tmpl w:val="2402AE3C"/>
    <w:lvl w:ilvl="0" w:tplc="69E4B610">
      <w:start w:val="1"/>
      <w:numFmt w:val="bullet"/>
      <w:lvlText w:val="–"/>
      <w:lvlJc w:val="left"/>
      <w:pPr>
        <w:ind w:left="1080" w:hanging="360"/>
      </w:pPr>
      <w:rPr>
        <w:rFonts w:ascii="Calibri"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7">
    <w:nsid w:val="574E25A6"/>
    <w:multiLevelType w:val="hybridMultilevel"/>
    <w:tmpl w:val="6AA4B4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CCE0205"/>
    <w:multiLevelType w:val="hybridMultilevel"/>
    <w:tmpl w:val="467420FA"/>
    <w:lvl w:ilvl="0" w:tplc="69E4B610">
      <w:start w:val="1"/>
      <w:numFmt w:val="bullet"/>
      <w:lvlText w:val="–"/>
      <w:lvlJc w:val="left"/>
      <w:pPr>
        <w:ind w:left="1080" w:hanging="360"/>
      </w:pPr>
      <w:rPr>
        <w:rFonts w:ascii="Calibri"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9">
    <w:nsid w:val="65774E79"/>
    <w:multiLevelType w:val="multilevel"/>
    <w:tmpl w:val="6CEAA7C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65AE1B6A"/>
    <w:multiLevelType w:val="hybridMultilevel"/>
    <w:tmpl w:val="75CEE652"/>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701352AD"/>
    <w:multiLevelType w:val="hybridMultilevel"/>
    <w:tmpl w:val="1C682956"/>
    <w:lvl w:ilvl="0" w:tplc="04050005">
      <w:start w:val="1"/>
      <w:numFmt w:val="bullet"/>
      <w:lvlText w:val=""/>
      <w:lvlJc w:val="left"/>
      <w:pPr>
        <w:ind w:left="1080" w:hanging="360"/>
      </w:pPr>
      <w:rPr>
        <w:rFonts w:ascii="Wingdings" w:hAnsi="Wingdings" w:hint="default"/>
      </w:rPr>
    </w:lvl>
    <w:lvl w:ilvl="1" w:tplc="80FA835A">
      <w:numFmt w:val="bullet"/>
      <w:lvlText w:val="·"/>
      <w:lvlJc w:val="left"/>
      <w:pPr>
        <w:ind w:left="1800" w:hanging="360"/>
      </w:pPr>
      <w:rPr>
        <w:rFonts w:ascii="Calibri" w:eastAsia="Calibri" w:hAnsi="Calibri" w:cs="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7359617E"/>
    <w:multiLevelType w:val="multilevel"/>
    <w:tmpl w:val="D870E7A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737D47B6"/>
    <w:multiLevelType w:val="multilevel"/>
    <w:tmpl w:val="B72C8B64"/>
    <w:lvl w:ilvl="0">
      <w:start w:val="1"/>
      <w:numFmt w:val="bullet"/>
      <w:lvlText w:val=""/>
      <w:lvlJc w:val="left"/>
      <w:pPr>
        <w:tabs>
          <w:tab w:val="num" w:pos="720"/>
        </w:tabs>
        <w:ind w:left="720" w:hanging="360"/>
      </w:pPr>
      <w:rPr>
        <w:rFonts w:ascii="Wingdings" w:hAnsi="Wingdings" w:hint="default"/>
        <w:b/>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6973E49"/>
    <w:multiLevelType w:val="hybridMultilevel"/>
    <w:tmpl w:val="61F0ADD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1"/>
  </w:num>
  <w:num w:numId="2">
    <w:abstractNumId w:val="19"/>
  </w:num>
  <w:num w:numId="3">
    <w:abstractNumId w:val="22"/>
  </w:num>
  <w:num w:numId="4">
    <w:abstractNumId w:val="21"/>
  </w:num>
  <w:num w:numId="5">
    <w:abstractNumId w:val="27"/>
  </w:num>
  <w:num w:numId="6">
    <w:abstractNumId w:val="24"/>
  </w:num>
  <w:num w:numId="7">
    <w:abstractNumId w:val="25"/>
  </w:num>
  <w:num w:numId="8">
    <w:abstractNumId w:val="33"/>
  </w:num>
  <w:num w:numId="9">
    <w:abstractNumId w:val="9"/>
  </w:num>
  <w:num w:numId="10">
    <w:abstractNumId w:val="16"/>
  </w:num>
  <w:num w:numId="11">
    <w:abstractNumId w:val="20"/>
  </w:num>
  <w:num w:numId="12">
    <w:abstractNumId w:val="18"/>
  </w:num>
  <w:num w:numId="13">
    <w:abstractNumId w:val="14"/>
  </w:num>
  <w:num w:numId="14">
    <w:abstractNumId w:val="23"/>
  </w:num>
  <w:num w:numId="15">
    <w:abstractNumId w:val="3"/>
  </w:num>
  <w:num w:numId="16">
    <w:abstractNumId w:val="10"/>
  </w:num>
  <w:num w:numId="17">
    <w:abstractNumId w:val="17"/>
  </w:num>
  <w:num w:numId="18">
    <w:abstractNumId w:val="2"/>
  </w:num>
  <w:num w:numId="19">
    <w:abstractNumId w:val="30"/>
  </w:num>
  <w:num w:numId="20">
    <w:abstractNumId w:val="7"/>
  </w:num>
  <w:num w:numId="21">
    <w:abstractNumId w:val="26"/>
  </w:num>
  <w:num w:numId="22">
    <w:abstractNumId w:val="15"/>
  </w:num>
  <w:num w:numId="23">
    <w:abstractNumId w:val="0"/>
  </w:num>
  <w:num w:numId="24">
    <w:abstractNumId w:val="28"/>
  </w:num>
  <w:num w:numId="25">
    <w:abstractNumId w:val="29"/>
  </w:num>
  <w:num w:numId="26">
    <w:abstractNumId w:val="32"/>
  </w:num>
  <w:num w:numId="27">
    <w:abstractNumId w:val="5"/>
  </w:num>
  <w:num w:numId="28">
    <w:abstractNumId w:val="6"/>
  </w:num>
  <w:num w:numId="29">
    <w:abstractNumId w:val="4"/>
  </w:num>
  <w:num w:numId="30">
    <w:abstractNumId w:val="31"/>
  </w:num>
  <w:num w:numId="31">
    <w:abstractNumId w:val="1"/>
  </w:num>
  <w:num w:numId="32">
    <w:abstractNumId w:val="13"/>
  </w:num>
  <w:num w:numId="33">
    <w:abstractNumId w:val="34"/>
  </w:num>
  <w:num w:numId="34">
    <w:abstractNumId w:val="12"/>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4F"/>
    <w:rsid w:val="00007310"/>
    <w:rsid w:val="00011E28"/>
    <w:rsid w:val="00012AD9"/>
    <w:rsid w:val="00013F5E"/>
    <w:rsid w:val="00015296"/>
    <w:rsid w:val="00015A06"/>
    <w:rsid w:val="0002408E"/>
    <w:rsid w:val="00031BD7"/>
    <w:rsid w:val="00036BDE"/>
    <w:rsid w:val="0006674E"/>
    <w:rsid w:val="00073D07"/>
    <w:rsid w:val="00075E8F"/>
    <w:rsid w:val="00083768"/>
    <w:rsid w:val="000860E8"/>
    <w:rsid w:val="0008641F"/>
    <w:rsid w:val="000A12B8"/>
    <w:rsid w:val="000A3BFE"/>
    <w:rsid w:val="000B4845"/>
    <w:rsid w:val="000C22EE"/>
    <w:rsid w:val="000C3CE9"/>
    <w:rsid w:val="000C6B90"/>
    <w:rsid w:val="000C7C7F"/>
    <w:rsid w:val="000D6DE7"/>
    <w:rsid w:val="000E6233"/>
    <w:rsid w:val="000E79E4"/>
    <w:rsid w:val="000F50FC"/>
    <w:rsid w:val="00121F26"/>
    <w:rsid w:val="0012483B"/>
    <w:rsid w:val="00130262"/>
    <w:rsid w:val="001431ED"/>
    <w:rsid w:val="00153FBE"/>
    <w:rsid w:val="001566AC"/>
    <w:rsid w:val="001567DD"/>
    <w:rsid w:val="001578F8"/>
    <w:rsid w:val="00167A45"/>
    <w:rsid w:val="00173D3E"/>
    <w:rsid w:val="001867B5"/>
    <w:rsid w:val="00194262"/>
    <w:rsid w:val="001A3963"/>
    <w:rsid w:val="001B3DFB"/>
    <w:rsid w:val="001C7D53"/>
    <w:rsid w:val="001E0B44"/>
    <w:rsid w:val="001E4182"/>
    <w:rsid w:val="001F68E2"/>
    <w:rsid w:val="002003F6"/>
    <w:rsid w:val="00201936"/>
    <w:rsid w:val="002125DA"/>
    <w:rsid w:val="002129A2"/>
    <w:rsid w:val="002364C3"/>
    <w:rsid w:val="0024661E"/>
    <w:rsid w:val="002468FF"/>
    <w:rsid w:val="00246E41"/>
    <w:rsid w:val="00247368"/>
    <w:rsid w:val="002513E7"/>
    <w:rsid w:val="00264D56"/>
    <w:rsid w:val="00297D4B"/>
    <w:rsid w:val="002A2EEB"/>
    <w:rsid w:val="002C2199"/>
    <w:rsid w:val="002C4A51"/>
    <w:rsid w:val="002D1781"/>
    <w:rsid w:val="002E144F"/>
    <w:rsid w:val="002E46AB"/>
    <w:rsid w:val="002E4CF2"/>
    <w:rsid w:val="002E6043"/>
    <w:rsid w:val="002E66C7"/>
    <w:rsid w:val="002F1C1F"/>
    <w:rsid w:val="002F2148"/>
    <w:rsid w:val="002F6BFD"/>
    <w:rsid w:val="003049A7"/>
    <w:rsid w:val="00305828"/>
    <w:rsid w:val="00310EB1"/>
    <w:rsid w:val="0031513B"/>
    <w:rsid w:val="00320443"/>
    <w:rsid w:val="00320ECF"/>
    <w:rsid w:val="0032506D"/>
    <w:rsid w:val="00327130"/>
    <w:rsid w:val="003341C5"/>
    <w:rsid w:val="003374A8"/>
    <w:rsid w:val="00350B06"/>
    <w:rsid w:val="00363E5E"/>
    <w:rsid w:val="00373215"/>
    <w:rsid w:val="0037415E"/>
    <w:rsid w:val="0037639B"/>
    <w:rsid w:val="00381E69"/>
    <w:rsid w:val="003826D5"/>
    <w:rsid w:val="003906BE"/>
    <w:rsid w:val="00391C89"/>
    <w:rsid w:val="0039647A"/>
    <w:rsid w:val="003979D9"/>
    <w:rsid w:val="003A458C"/>
    <w:rsid w:val="003A5338"/>
    <w:rsid w:val="003C05F3"/>
    <w:rsid w:val="003C113F"/>
    <w:rsid w:val="003E574C"/>
    <w:rsid w:val="003E5EF8"/>
    <w:rsid w:val="003E60CD"/>
    <w:rsid w:val="003F7296"/>
    <w:rsid w:val="004014E5"/>
    <w:rsid w:val="00405957"/>
    <w:rsid w:val="00410295"/>
    <w:rsid w:val="00416A43"/>
    <w:rsid w:val="004202B0"/>
    <w:rsid w:val="00434C1D"/>
    <w:rsid w:val="00436D07"/>
    <w:rsid w:val="00447074"/>
    <w:rsid w:val="00450C33"/>
    <w:rsid w:val="00452A53"/>
    <w:rsid w:val="00454928"/>
    <w:rsid w:val="00456C0F"/>
    <w:rsid w:val="00457601"/>
    <w:rsid w:val="004719A6"/>
    <w:rsid w:val="004721A3"/>
    <w:rsid w:val="0048328C"/>
    <w:rsid w:val="004907D4"/>
    <w:rsid w:val="004B1E8A"/>
    <w:rsid w:val="004B2D0E"/>
    <w:rsid w:val="004B7C88"/>
    <w:rsid w:val="004D3B8E"/>
    <w:rsid w:val="004E2BFE"/>
    <w:rsid w:val="004E4416"/>
    <w:rsid w:val="004E5A18"/>
    <w:rsid w:val="004F0000"/>
    <w:rsid w:val="004F086F"/>
    <w:rsid w:val="004F266C"/>
    <w:rsid w:val="004F578E"/>
    <w:rsid w:val="0050082F"/>
    <w:rsid w:val="00500965"/>
    <w:rsid w:val="00510CB2"/>
    <w:rsid w:val="005176C9"/>
    <w:rsid w:val="00522623"/>
    <w:rsid w:val="0053144F"/>
    <w:rsid w:val="00531A93"/>
    <w:rsid w:val="00540585"/>
    <w:rsid w:val="00557F1F"/>
    <w:rsid w:val="0057339D"/>
    <w:rsid w:val="005873D7"/>
    <w:rsid w:val="005912F1"/>
    <w:rsid w:val="005A0595"/>
    <w:rsid w:val="005A39D0"/>
    <w:rsid w:val="005A4223"/>
    <w:rsid w:val="005B3764"/>
    <w:rsid w:val="005B5722"/>
    <w:rsid w:val="005B7638"/>
    <w:rsid w:val="005C31B6"/>
    <w:rsid w:val="005D0362"/>
    <w:rsid w:val="005D3A32"/>
    <w:rsid w:val="00602E45"/>
    <w:rsid w:val="006307E0"/>
    <w:rsid w:val="00631201"/>
    <w:rsid w:val="006414D2"/>
    <w:rsid w:val="0064255F"/>
    <w:rsid w:val="0064798B"/>
    <w:rsid w:val="00661CE2"/>
    <w:rsid w:val="00663C82"/>
    <w:rsid w:val="0068432E"/>
    <w:rsid w:val="00687A9A"/>
    <w:rsid w:val="006B0A0B"/>
    <w:rsid w:val="006B2411"/>
    <w:rsid w:val="006B3503"/>
    <w:rsid w:val="006B515B"/>
    <w:rsid w:val="006B63BD"/>
    <w:rsid w:val="006E525B"/>
    <w:rsid w:val="006F03AD"/>
    <w:rsid w:val="00704C01"/>
    <w:rsid w:val="00705CF5"/>
    <w:rsid w:val="007149A3"/>
    <w:rsid w:val="007217EE"/>
    <w:rsid w:val="007231CC"/>
    <w:rsid w:val="007278A3"/>
    <w:rsid w:val="0073072F"/>
    <w:rsid w:val="00730E1A"/>
    <w:rsid w:val="00737FEE"/>
    <w:rsid w:val="007431DC"/>
    <w:rsid w:val="0075074A"/>
    <w:rsid w:val="007515ED"/>
    <w:rsid w:val="007539C0"/>
    <w:rsid w:val="007605A9"/>
    <w:rsid w:val="0076184F"/>
    <w:rsid w:val="007629C3"/>
    <w:rsid w:val="00767F42"/>
    <w:rsid w:val="007828A9"/>
    <w:rsid w:val="007848ED"/>
    <w:rsid w:val="00796E42"/>
    <w:rsid w:val="007A11A9"/>
    <w:rsid w:val="007C1C65"/>
    <w:rsid w:val="007C1CC8"/>
    <w:rsid w:val="007C27AF"/>
    <w:rsid w:val="007C670D"/>
    <w:rsid w:val="007E4E22"/>
    <w:rsid w:val="007E7743"/>
    <w:rsid w:val="007F18EE"/>
    <w:rsid w:val="007F5AA4"/>
    <w:rsid w:val="0080218E"/>
    <w:rsid w:val="00803082"/>
    <w:rsid w:val="00822669"/>
    <w:rsid w:val="008231F6"/>
    <w:rsid w:val="008271F8"/>
    <w:rsid w:val="008300FC"/>
    <w:rsid w:val="00830146"/>
    <w:rsid w:val="008526D5"/>
    <w:rsid w:val="00853FC1"/>
    <w:rsid w:val="00866E75"/>
    <w:rsid w:val="008729C9"/>
    <w:rsid w:val="00874C8C"/>
    <w:rsid w:val="0088134F"/>
    <w:rsid w:val="0088196A"/>
    <w:rsid w:val="00882F84"/>
    <w:rsid w:val="008834AB"/>
    <w:rsid w:val="0089678C"/>
    <w:rsid w:val="00897BEF"/>
    <w:rsid w:val="008A4B8E"/>
    <w:rsid w:val="008B104B"/>
    <w:rsid w:val="008C1A56"/>
    <w:rsid w:val="008C2271"/>
    <w:rsid w:val="008D533C"/>
    <w:rsid w:val="008E175F"/>
    <w:rsid w:val="008E2B0E"/>
    <w:rsid w:val="008F3E98"/>
    <w:rsid w:val="00901653"/>
    <w:rsid w:val="009018A1"/>
    <w:rsid w:val="009165DB"/>
    <w:rsid w:val="00917348"/>
    <w:rsid w:val="00917CD2"/>
    <w:rsid w:val="0092271A"/>
    <w:rsid w:val="00931EC0"/>
    <w:rsid w:val="009441E4"/>
    <w:rsid w:val="0094636B"/>
    <w:rsid w:val="0095020A"/>
    <w:rsid w:val="00951763"/>
    <w:rsid w:val="009526C6"/>
    <w:rsid w:val="00956491"/>
    <w:rsid w:val="00957AAC"/>
    <w:rsid w:val="0098289A"/>
    <w:rsid w:val="00987452"/>
    <w:rsid w:val="009A7C2F"/>
    <w:rsid w:val="009B348C"/>
    <w:rsid w:val="009B5259"/>
    <w:rsid w:val="009E0C91"/>
    <w:rsid w:val="009E3E40"/>
    <w:rsid w:val="009E42E4"/>
    <w:rsid w:val="009F33F1"/>
    <w:rsid w:val="009F63A2"/>
    <w:rsid w:val="00A10D76"/>
    <w:rsid w:val="00A12908"/>
    <w:rsid w:val="00A140A7"/>
    <w:rsid w:val="00A15829"/>
    <w:rsid w:val="00A179C0"/>
    <w:rsid w:val="00A238A7"/>
    <w:rsid w:val="00A243EE"/>
    <w:rsid w:val="00A34187"/>
    <w:rsid w:val="00A36629"/>
    <w:rsid w:val="00A42072"/>
    <w:rsid w:val="00A44672"/>
    <w:rsid w:val="00A57995"/>
    <w:rsid w:val="00A60367"/>
    <w:rsid w:val="00A607B4"/>
    <w:rsid w:val="00A64035"/>
    <w:rsid w:val="00A760C5"/>
    <w:rsid w:val="00A80662"/>
    <w:rsid w:val="00A848D1"/>
    <w:rsid w:val="00A858CD"/>
    <w:rsid w:val="00A87D36"/>
    <w:rsid w:val="00A916BE"/>
    <w:rsid w:val="00A91F13"/>
    <w:rsid w:val="00A94EC9"/>
    <w:rsid w:val="00A9583B"/>
    <w:rsid w:val="00A9689A"/>
    <w:rsid w:val="00A97800"/>
    <w:rsid w:val="00AA2613"/>
    <w:rsid w:val="00AA2F94"/>
    <w:rsid w:val="00AA3906"/>
    <w:rsid w:val="00AA5016"/>
    <w:rsid w:val="00AB008B"/>
    <w:rsid w:val="00AB6268"/>
    <w:rsid w:val="00AC50E1"/>
    <w:rsid w:val="00AD303F"/>
    <w:rsid w:val="00AD3CE9"/>
    <w:rsid w:val="00AE361F"/>
    <w:rsid w:val="00AF26E1"/>
    <w:rsid w:val="00B03B68"/>
    <w:rsid w:val="00B06684"/>
    <w:rsid w:val="00B2262A"/>
    <w:rsid w:val="00B235F0"/>
    <w:rsid w:val="00B259B3"/>
    <w:rsid w:val="00B264E2"/>
    <w:rsid w:val="00B34F55"/>
    <w:rsid w:val="00B3760E"/>
    <w:rsid w:val="00B44DF6"/>
    <w:rsid w:val="00B46E6D"/>
    <w:rsid w:val="00B5085B"/>
    <w:rsid w:val="00B57A84"/>
    <w:rsid w:val="00B64588"/>
    <w:rsid w:val="00B66BA1"/>
    <w:rsid w:val="00B706FD"/>
    <w:rsid w:val="00B72914"/>
    <w:rsid w:val="00B80C6F"/>
    <w:rsid w:val="00B86815"/>
    <w:rsid w:val="00B90949"/>
    <w:rsid w:val="00B90C27"/>
    <w:rsid w:val="00BA22BF"/>
    <w:rsid w:val="00BA7544"/>
    <w:rsid w:val="00BB2F9F"/>
    <w:rsid w:val="00BB3C59"/>
    <w:rsid w:val="00BB51B4"/>
    <w:rsid w:val="00BB69FA"/>
    <w:rsid w:val="00BD761D"/>
    <w:rsid w:val="00BD7BB3"/>
    <w:rsid w:val="00BE3B48"/>
    <w:rsid w:val="00BF436A"/>
    <w:rsid w:val="00C04EDD"/>
    <w:rsid w:val="00C13D93"/>
    <w:rsid w:val="00C1451E"/>
    <w:rsid w:val="00C14861"/>
    <w:rsid w:val="00C33BF7"/>
    <w:rsid w:val="00C37729"/>
    <w:rsid w:val="00C5061F"/>
    <w:rsid w:val="00C65865"/>
    <w:rsid w:val="00C65FE9"/>
    <w:rsid w:val="00C70FE5"/>
    <w:rsid w:val="00C720B8"/>
    <w:rsid w:val="00C744C3"/>
    <w:rsid w:val="00C769E0"/>
    <w:rsid w:val="00C817E9"/>
    <w:rsid w:val="00C910F4"/>
    <w:rsid w:val="00C978FD"/>
    <w:rsid w:val="00CA36AA"/>
    <w:rsid w:val="00CB25B7"/>
    <w:rsid w:val="00CC0F37"/>
    <w:rsid w:val="00CC1FE6"/>
    <w:rsid w:val="00CD3DE7"/>
    <w:rsid w:val="00CD54C1"/>
    <w:rsid w:val="00CE6684"/>
    <w:rsid w:val="00CF1DA8"/>
    <w:rsid w:val="00CF723C"/>
    <w:rsid w:val="00D2638D"/>
    <w:rsid w:val="00D31750"/>
    <w:rsid w:val="00D36940"/>
    <w:rsid w:val="00D402C3"/>
    <w:rsid w:val="00D4114A"/>
    <w:rsid w:val="00D43854"/>
    <w:rsid w:val="00D444BE"/>
    <w:rsid w:val="00D47245"/>
    <w:rsid w:val="00D51E3C"/>
    <w:rsid w:val="00D66598"/>
    <w:rsid w:val="00D8042E"/>
    <w:rsid w:val="00D90BE3"/>
    <w:rsid w:val="00D9104F"/>
    <w:rsid w:val="00D923B4"/>
    <w:rsid w:val="00D959B4"/>
    <w:rsid w:val="00D97400"/>
    <w:rsid w:val="00DA6E21"/>
    <w:rsid w:val="00DB0528"/>
    <w:rsid w:val="00DB5CD0"/>
    <w:rsid w:val="00DB7188"/>
    <w:rsid w:val="00DC28B5"/>
    <w:rsid w:val="00DC5D75"/>
    <w:rsid w:val="00DD02F6"/>
    <w:rsid w:val="00DD2B49"/>
    <w:rsid w:val="00DD5B4E"/>
    <w:rsid w:val="00DF2CFC"/>
    <w:rsid w:val="00DF2E18"/>
    <w:rsid w:val="00E05B31"/>
    <w:rsid w:val="00E075DD"/>
    <w:rsid w:val="00E14EE9"/>
    <w:rsid w:val="00E21064"/>
    <w:rsid w:val="00E363E1"/>
    <w:rsid w:val="00E363E9"/>
    <w:rsid w:val="00E47CBA"/>
    <w:rsid w:val="00E5447B"/>
    <w:rsid w:val="00E5448A"/>
    <w:rsid w:val="00E62EF0"/>
    <w:rsid w:val="00E65F7A"/>
    <w:rsid w:val="00E664C9"/>
    <w:rsid w:val="00E7647A"/>
    <w:rsid w:val="00E809D0"/>
    <w:rsid w:val="00E85451"/>
    <w:rsid w:val="00EA1189"/>
    <w:rsid w:val="00EA3072"/>
    <w:rsid w:val="00EB1851"/>
    <w:rsid w:val="00EB7CA5"/>
    <w:rsid w:val="00ED561D"/>
    <w:rsid w:val="00ED74A7"/>
    <w:rsid w:val="00EE3085"/>
    <w:rsid w:val="00EE3B07"/>
    <w:rsid w:val="00EE3B72"/>
    <w:rsid w:val="00EE4F00"/>
    <w:rsid w:val="00EE7EE4"/>
    <w:rsid w:val="00EF57C6"/>
    <w:rsid w:val="00EF6740"/>
    <w:rsid w:val="00F041A5"/>
    <w:rsid w:val="00F1321B"/>
    <w:rsid w:val="00F1623A"/>
    <w:rsid w:val="00F239C4"/>
    <w:rsid w:val="00F306D0"/>
    <w:rsid w:val="00F33AFB"/>
    <w:rsid w:val="00F3594F"/>
    <w:rsid w:val="00F3678D"/>
    <w:rsid w:val="00F54880"/>
    <w:rsid w:val="00F56C3D"/>
    <w:rsid w:val="00F62141"/>
    <w:rsid w:val="00F66CA9"/>
    <w:rsid w:val="00F719A3"/>
    <w:rsid w:val="00F81BFD"/>
    <w:rsid w:val="00F83EC6"/>
    <w:rsid w:val="00F90E33"/>
    <w:rsid w:val="00F92B01"/>
    <w:rsid w:val="00FA50F3"/>
    <w:rsid w:val="00FA69A1"/>
    <w:rsid w:val="00FB5161"/>
    <w:rsid w:val="00FC6D0F"/>
    <w:rsid w:val="00FC7755"/>
    <w:rsid w:val="00FE066C"/>
    <w:rsid w:val="00FE7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184F"/>
    <w:rPr>
      <w:rFonts w:ascii="Arial" w:hAnsi="Arial"/>
      <w:sz w:val="24"/>
    </w:rPr>
  </w:style>
  <w:style w:type="paragraph" w:styleId="Nadpis1">
    <w:name w:val="heading 1"/>
    <w:basedOn w:val="Normln"/>
    <w:next w:val="Normln"/>
    <w:qFormat/>
    <w:rsid w:val="0076184F"/>
    <w:pPr>
      <w:keepNext/>
      <w:pBdr>
        <w:bottom w:val="single" w:sz="4" w:space="1" w:color="auto"/>
      </w:pBdr>
      <w:jc w:val="center"/>
      <w:outlineLvl w:val="0"/>
    </w:pPr>
    <w:rPr>
      <w:sz w:val="28"/>
    </w:rPr>
  </w:style>
  <w:style w:type="paragraph" w:styleId="Nadpis2">
    <w:name w:val="heading 2"/>
    <w:basedOn w:val="Normln"/>
    <w:next w:val="Normln"/>
    <w:autoRedefine/>
    <w:qFormat/>
    <w:rsid w:val="0075074A"/>
    <w:pPr>
      <w:keepNext/>
      <w:spacing w:before="240" w:after="60"/>
      <w:outlineLvl w:val="1"/>
    </w:pPr>
    <w:rPr>
      <w:rFonts w:cs="Arial"/>
      <w:bCs/>
      <w:iCs/>
      <w:sz w:val="28"/>
      <w:szCs w:val="28"/>
    </w:rPr>
  </w:style>
  <w:style w:type="paragraph" w:styleId="Nadpis3">
    <w:name w:val="heading 3"/>
    <w:basedOn w:val="Normln"/>
    <w:next w:val="Normln"/>
    <w:link w:val="Nadpis3Char"/>
    <w:autoRedefine/>
    <w:unhideWhenUsed/>
    <w:qFormat/>
    <w:rsid w:val="0075074A"/>
    <w:pPr>
      <w:keepNext/>
      <w:numPr>
        <w:numId w:val="27"/>
      </w:numPr>
      <w:spacing w:before="240" w:after="60"/>
      <w:ind w:left="723"/>
      <w:outlineLvl w:val="2"/>
    </w:pPr>
    <w:rPr>
      <w:rFonts w:eastAsiaTheme="majorEastAsia" w:cs="Arial"/>
      <w:b/>
      <w:bCs/>
      <w:sz w:val="22"/>
      <w:szCs w:val="22"/>
    </w:rPr>
  </w:style>
  <w:style w:type="paragraph" w:styleId="Nadpis4">
    <w:name w:val="heading 4"/>
    <w:basedOn w:val="Normln"/>
    <w:next w:val="Normln"/>
    <w:link w:val="Nadpis4Char"/>
    <w:semiHidden/>
    <w:unhideWhenUsed/>
    <w:qFormat/>
    <w:rsid w:val="00A64035"/>
    <w:pPr>
      <w:keepNext/>
      <w:spacing w:before="240" w:after="60"/>
      <w:ind w:left="864" w:hanging="864"/>
      <w:outlineLvl w:val="3"/>
    </w:pPr>
    <w:rPr>
      <w:rFonts w:ascii="Calibri" w:hAnsi="Calibri"/>
      <w:b/>
      <w:bCs/>
      <w:sz w:val="28"/>
      <w:szCs w:val="28"/>
      <w:lang w:val="x-none" w:eastAsia="x-none"/>
    </w:rPr>
  </w:style>
  <w:style w:type="paragraph" w:styleId="Nadpis5">
    <w:name w:val="heading 5"/>
    <w:basedOn w:val="Normln"/>
    <w:next w:val="Normln"/>
    <w:link w:val="Nadpis5Char"/>
    <w:semiHidden/>
    <w:unhideWhenUsed/>
    <w:qFormat/>
    <w:rsid w:val="00A64035"/>
    <w:pPr>
      <w:spacing w:before="240" w:after="60"/>
      <w:ind w:left="1008" w:hanging="1008"/>
      <w:outlineLvl w:val="4"/>
    </w:pPr>
    <w:rPr>
      <w:rFonts w:ascii="Calibri" w:hAnsi="Calibri"/>
      <w:b/>
      <w:bCs/>
      <w:i/>
      <w:iCs/>
      <w:sz w:val="26"/>
      <w:szCs w:val="26"/>
      <w:lang w:val="x-none" w:eastAsia="x-none"/>
    </w:rPr>
  </w:style>
  <w:style w:type="paragraph" w:styleId="Nadpis6">
    <w:name w:val="heading 6"/>
    <w:basedOn w:val="Normln"/>
    <w:next w:val="Normln"/>
    <w:link w:val="Nadpis6Char"/>
    <w:semiHidden/>
    <w:unhideWhenUsed/>
    <w:qFormat/>
    <w:rsid w:val="00A64035"/>
    <w:pPr>
      <w:spacing w:before="240" w:after="60"/>
      <w:ind w:left="1152" w:hanging="1152"/>
      <w:outlineLvl w:val="5"/>
    </w:pPr>
    <w:rPr>
      <w:rFonts w:ascii="Calibri" w:hAnsi="Calibri"/>
      <w:b/>
      <w:bCs/>
      <w:sz w:val="22"/>
      <w:szCs w:val="22"/>
      <w:lang w:val="x-none" w:eastAsia="x-none"/>
    </w:rPr>
  </w:style>
  <w:style w:type="paragraph" w:styleId="Nadpis7">
    <w:name w:val="heading 7"/>
    <w:basedOn w:val="Normln"/>
    <w:next w:val="Normln"/>
    <w:link w:val="Nadpis7Char"/>
    <w:semiHidden/>
    <w:unhideWhenUsed/>
    <w:qFormat/>
    <w:rsid w:val="00A64035"/>
    <w:pPr>
      <w:spacing w:before="240" w:after="60"/>
      <w:ind w:left="1296" w:hanging="1296"/>
      <w:outlineLvl w:val="6"/>
    </w:pPr>
    <w:rPr>
      <w:rFonts w:ascii="Calibri" w:hAnsi="Calibri"/>
      <w:szCs w:val="24"/>
      <w:lang w:val="x-none" w:eastAsia="x-none"/>
    </w:rPr>
  </w:style>
  <w:style w:type="paragraph" w:styleId="Nadpis8">
    <w:name w:val="heading 8"/>
    <w:basedOn w:val="Normln"/>
    <w:next w:val="Normln"/>
    <w:qFormat/>
    <w:rsid w:val="0076184F"/>
    <w:pPr>
      <w:keepNext/>
      <w:tabs>
        <w:tab w:val="left" w:pos="-1560"/>
      </w:tabs>
      <w:jc w:val="both"/>
      <w:outlineLvl w:val="7"/>
    </w:pPr>
    <w:rPr>
      <w:rFonts w:ascii="Times New Roman" w:hAnsi="Times New Roman"/>
      <w:sz w:val="28"/>
    </w:rPr>
  </w:style>
  <w:style w:type="paragraph" w:styleId="Nadpis9">
    <w:name w:val="heading 9"/>
    <w:basedOn w:val="Normln"/>
    <w:next w:val="Normln"/>
    <w:link w:val="Nadpis9Char"/>
    <w:semiHidden/>
    <w:unhideWhenUsed/>
    <w:qFormat/>
    <w:rsid w:val="00A64035"/>
    <w:pPr>
      <w:spacing w:before="240" w:after="60"/>
      <w:ind w:left="1584" w:hanging="1584"/>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6184F"/>
    <w:pPr>
      <w:tabs>
        <w:tab w:val="left" w:pos="0"/>
        <w:tab w:val="left" w:pos="7371"/>
      </w:tabs>
    </w:pPr>
    <w:rPr>
      <w:b/>
      <w:sz w:val="28"/>
    </w:rPr>
  </w:style>
  <w:style w:type="table" w:styleId="Mkatabulky">
    <w:name w:val="Table Grid"/>
    <w:basedOn w:val="Normlntabulka"/>
    <w:rsid w:val="00761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basedOn w:val="Normln"/>
    <w:rsid w:val="0076184F"/>
    <w:pPr>
      <w:spacing w:after="160" w:line="240" w:lineRule="exact"/>
    </w:pPr>
    <w:rPr>
      <w:rFonts w:ascii="Verdana" w:hAnsi="Verdana"/>
      <w:sz w:val="20"/>
      <w:lang w:val="en-US" w:eastAsia="en-US"/>
    </w:rPr>
  </w:style>
  <w:style w:type="paragraph" w:styleId="Zhlav">
    <w:name w:val="header"/>
    <w:basedOn w:val="Normln"/>
    <w:link w:val="ZhlavChar"/>
    <w:rsid w:val="0076184F"/>
    <w:pPr>
      <w:tabs>
        <w:tab w:val="center" w:pos="4536"/>
        <w:tab w:val="right" w:pos="9072"/>
      </w:tabs>
    </w:pPr>
  </w:style>
  <w:style w:type="paragraph" w:styleId="Zkladntext3">
    <w:name w:val="Body Text 3"/>
    <w:basedOn w:val="Normln"/>
    <w:rsid w:val="002D1781"/>
    <w:pPr>
      <w:spacing w:after="120"/>
    </w:pPr>
    <w:rPr>
      <w:sz w:val="16"/>
      <w:szCs w:val="16"/>
    </w:rPr>
  </w:style>
  <w:style w:type="paragraph" w:styleId="Textbubliny">
    <w:name w:val="Balloon Text"/>
    <w:basedOn w:val="Normln"/>
    <w:link w:val="TextbublinyChar"/>
    <w:rsid w:val="002F1C1F"/>
    <w:rPr>
      <w:rFonts w:ascii="Tahoma" w:hAnsi="Tahoma" w:cs="Tahoma"/>
      <w:sz w:val="16"/>
      <w:szCs w:val="16"/>
    </w:rPr>
  </w:style>
  <w:style w:type="paragraph" w:styleId="Zpat">
    <w:name w:val="footer"/>
    <w:basedOn w:val="Normln"/>
    <w:link w:val="ZpatChar"/>
    <w:uiPriority w:val="99"/>
    <w:rsid w:val="00D66598"/>
    <w:pPr>
      <w:tabs>
        <w:tab w:val="center" w:pos="4536"/>
        <w:tab w:val="right" w:pos="9072"/>
      </w:tabs>
    </w:pPr>
  </w:style>
  <w:style w:type="character" w:customStyle="1" w:styleId="ZpatChar">
    <w:name w:val="Zápatí Char"/>
    <w:basedOn w:val="Standardnpsmoodstavce"/>
    <w:link w:val="Zpat"/>
    <w:uiPriority w:val="99"/>
    <w:rsid w:val="00D66598"/>
    <w:rPr>
      <w:rFonts w:ascii="Arial" w:hAnsi="Arial"/>
      <w:sz w:val="24"/>
    </w:rPr>
  </w:style>
  <w:style w:type="paragraph" w:styleId="Zkladntextodsazen">
    <w:name w:val="Body Text Indent"/>
    <w:basedOn w:val="Normln"/>
    <w:link w:val="ZkladntextodsazenChar"/>
    <w:rsid w:val="00705CF5"/>
    <w:pPr>
      <w:spacing w:after="120"/>
      <w:ind w:left="283"/>
    </w:pPr>
  </w:style>
  <w:style w:type="paragraph" w:styleId="Normlnweb">
    <w:name w:val="Normal (Web)"/>
    <w:basedOn w:val="Normln"/>
    <w:rsid w:val="0073072F"/>
    <w:pPr>
      <w:spacing w:before="100" w:beforeAutospacing="1" w:after="100" w:afterAutospacing="1"/>
    </w:pPr>
    <w:rPr>
      <w:rFonts w:ascii="Times New Roman" w:hAnsi="Times New Roman"/>
      <w:szCs w:val="24"/>
    </w:rPr>
  </w:style>
  <w:style w:type="character" w:customStyle="1" w:styleId="Nadpis3Char">
    <w:name w:val="Nadpis 3 Char"/>
    <w:basedOn w:val="Standardnpsmoodstavce"/>
    <w:link w:val="Nadpis3"/>
    <w:rsid w:val="0075074A"/>
    <w:rPr>
      <w:rFonts w:ascii="Arial" w:eastAsiaTheme="majorEastAsia" w:hAnsi="Arial" w:cs="Arial"/>
      <w:b/>
      <w:bCs/>
      <w:sz w:val="22"/>
      <w:szCs w:val="22"/>
    </w:rPr>
  </w:style>
  <w:style w:type="character" w:customStyle="1" w:styleId="Nadpis4Char">
    <w:name w:val="Nadpis 4 Char"/>
    <w:basedOn w:val="Standardnpsmoodstavce"/>
    <w:link w:val="Nadpis4"/>
    <w:semiHidden/>
    <w:rsid w:val="00A64035"/>
    <w:rPr>
      <w:rFonts w:ascii="Calibri" w:hAnsi="Calibri"/>
      <w:b/>
      <w:bCs/>
      <w:sz w:val="28"/>
      <w:szCs w:val="28"/>
      <w:lang w:val="x-none" w:eastAsia="x-none"/>
    </w:rPr>
  </w:style>
  <w:style w:type="character" w:customStyle="1" w:styleId="Nadpis5Char">
    <w:name w:val="Nadpis 5 Char"/>
    <w:basedOn w:val="Standardnpsmoodstavce"/>
    <w:link w:val="Nadpis5"/>
    <w:semiHidden/>
    <w:rsid w:val="00A64035"/>
    <w:rPr>
      <w:rFonts w:ascii="Calibri" w:hAnsi="Calibri"/>
      <w:b/>
      <w:bCs/>
      <w:i/>
      <w:iCs/>
      <w:sz w:val="26"/>
      <w:szCs w:val="26"/>
      <w:lang w:val="x-none" w:eastAsia="x-none"/>
    </w:rPr>
  </w:style>
  <w:style w:type="character" w:customStyle="1" w:styleId="Nadpis6Char">
    <w:name w:val="Nadpis 6 Char"/>
    <w:basedOn w:val="Standardnpsmoodstavce"/>
    <w:link w:val="Nadpis6"/>
    <w:semiHidden/>
    <w:rsid w:val="00A64035"/>
    <w:rPr>
      <w:rFonts w:ascii="Calibri" w:hAnsi="Calibri"/>
      <w:b/>
      <w:bCs/>
      <w:sz w:val="22"/>
      <w:szCs w:val="22"/>
      <w:lang w:val="x-none" w:eastAsia="x-none"/>
    </w:rPr>
  </w:style>
  <w:style w:type="character" w:customStyle="1" w:styleId="Nadpis7Char">
    <w:name w:val="Nadpis 7 Char"/>
    <w:basedOn w:val="Standardnpsmoodstavce"/>
    <w:link w:val="Nadpis7"/>
    <w:semiHidden/>
    <w:rsid w:val="00A64035"/>
    <w:rPr>
      <w:rFonts w:ascii="Calibri" w:hAnsi="Calibri"/>
      <w:sz w:val="24"/>
      <w:szCs w:val="24"/>
      <w:lang w:val="x-none" w:eastAsia="x-none"/>
    </w:rPr>
  </w:style>
  <w:style w:type="character" w:customStyle="1" w:styleId="Nadpis9Char">
    <w:name w:val="Nadpis 9 Char"/>
    <w:basedOn w:val="Standardnpsmoodstavce"/>
    <w:link w:val="Nadpis9"/>
    <w:semiHidden/>
    <w:rsid w:val="00A64035"/>
    <w:rPr>
      <w:rFonts w:ascii="Cambria" w:hAnsi="Cambria"/>
      <w:sz w:val="22"/>
      <w:szCs w:val="22"/>
      <w:lang w:val="x-none" w:eastAsia="x-none"/>
    </w:rPr>
  </w:style>
  <w:style w:type="paragraph" w:styleId="Titulek">
    <w:name w:val="caption"/>
    <w:basedOn w:val="Normln"/>
    <w:next w:val="Normln"/>
    <w:qFormat/>
    <w:rsid w:val="00A64035"/>
    <w:rPr>
      <w:rFonts w:ascii="Times New Roman" w:hAnsi="Times New Roman"/>
      <w:b/>
      <w:bCs/>
      <w:sz w:val="20"/>
    </w:rPr>
  </w:style>
  <w:style w:type="character" w:customStyle="1" w:styleId="ZkladntextodsazenChar">
    <w:name w:val="Základní text odsazený Char"/>
    <w:link w:val="Zkladntextodsazen"/>
    <w:rsid w:val="00A64035"/>
    <w:rPr>
      <w:rFonts w:ascii="Arial" w:hAnsi="Arial"/>
      <w:sz w:val="24"/>
    </w:rPr>
  </w:style>
  <w:style w:type="character" w:styleId="slostrnky">
    <w:name w:val="page number"/>
    <w:rsid w:val="00A64035"/>
  </w:style>
  <w:style w:type="character" w:customStyle="1" w:styleId="Char">
    <w:name w:val="Char"/>
    <w:rsid w:val="00A64035"/>
    <w:rPr>
      <w:rFonts w:ascii="Arial" w:hAnsi="Arial" w:cs="Arial"/>
      <w:b/>
      <w:bCs/>
      <w:kern w:val="32"/>
      <w:sz w:val="32"/>
      <w:szCs w:val="32"/>
      <w:lang w:val="cs-CZ" w:eastAsia="cs-CZ" w:bidi="ar-SA"/>
    </w:rPr>
  </w:style>
  <w:style w:type="paragraph" w:styleId="Textpoznpodarou">
    <w:name w:val="footnote text"/>
    <w:basedOn w:val="Normln"/>
    <w:link w:val="TextpoznpodarouChar"/>
    <w:rsid w:val="00A64035"/>
    <w:rPr>
      <w:rFonts w:ascii="Times New Roman" w:hAnsi="Times New Roman"/>
      <w:sz w:val="20"/>
    </w:rPr>
  </w:style>
  <w:style w:type="character" w:customStyle="1" w:styleId="TextpoznpodarouChar">
    <w:name w:val="Text pozn. pod čarou Char"/>
    <w:basedOn w:val="Standardnpsmoodstavce"/>
    <w:link w:val="Textpoznpodarou"/>
    <w:rsid w:val="00A64035"/>
  </w:style>
  <w:style w:type="character" w:styleId="Znakapoznpodarou">
    <w:name w:val="footnote reference"/>
    <w:rsid w:val="00A64035"/>
    <w:rPr>
      <w:vertAlign w:val="superscript"/>
    </w:rPr>
  </w:style>
  <w:style w:type="paragraph" w:styleId="Textvysvtlivek">
    <w:name w:val="endnote text"/>
    <w:basedOn w:val="Normln"/>
    <w:link w:val="TextvysvtlivekChar"/>
    <w:rsid w:val="00A64035"/>
    <w:rPr>
      <w:rFonts w:ascii="Times New Roman" w:hAnsi="Times New Roman"/>
      <w:sz w:val="20"/>
    </w:rPr>
  </w:style>
  <w:style w:type="character" w:customStyle="1" w:styleId="TextvysvtlivekChar">
    <w:name w:val="Text vysvětlivek Char"/>
    <w:basedOn w:val="Standardnpsmoodstavce"/>
    <w:link w:val="Textvysvtlivek"/>
    <w:rsid w:val="00A64035"/>
  </w:style>
  <w:style w:type="character" w:styleId="Odkaznavysvtlivky">
    <w:name w:val="endnote reference"/>
    <w:rsid w:val="00A64035"/>
    <w:rPr>
      <w:vertAlign w:val="superscript"/>
    </w:rPr>
  </w:style>
  <w:style w:type="paragraph" w:styleId="Zkladntext2">
    <w:name w:val="Body Text 2"/>
    <w:basedOn w:val="Normln"/>
    <w:link w:val="Zkladntext2Char"/>
    <w:rsid w:val="00A64035"/>
    <w:rPr>
      <w:rFonts w:ascii="Times New Roman" w:hAnsi="Times New Roman"/>
      <w:b/>
      <w:bCs/>
      <w:szCs w:val="24"/>
      <w:lang w:val="x-none" w:eastAsia="x-none"/>
    </w:rPr>
  </w:style>
  <w:style w:type="character" w:customStyle="1" w:styleId="Zkladntext2Char">
    <w:name w:val="Základní text 2 Char"/>
    <w:basedOn w:val="Standardnpsmoodstavce"/>
    <w:link w:val="Zkladntext2"/>
    <w:rsid w:val="00A64035"/>
    <w:rPr>
      <w:b/>
      <w:bCs/>
      <w:sz w:val="24"/>
      <w:szCs w:val="24"/>
      <w:lang w:val="x-none" w:eastAsia="x-none"/>
    </w:rPr>
  </w:style>
  <w:style w:type="character" w:styleId="Hypertextovodkaz">
    <w:name w:val="Hyperlink"/>
    <w:rsid w:val="00A64035"/>
    <w:rPr>
      <w:color w:val="0000FF"/>
      <w:u w:val="single"/>
    </w:rPr>
  </w:style>
  <w:style w:type="paragraph" w:customStyle="1" w:styleId="Odstavecseseznamem1">
    <w:name w:val="Odstavec se seznamem1"/>
    <w:basedOn w:val="Normln"/>
    <w:rsid w:val="00A64035"/>
    <w:pPr>
      <w:spacing w:line="276" w:lineRule="auto"/>
      <w:ind w:left="720"/>
      <w:contextualSpacing/>
    </w:pPr>
    <w:rPr>
      <w:rFonts w:ascii="Calibri" w:hAnsi="Calibri"/>
      <w:sz w:val="22"/>
      <w:szCs w:val="22"/>
      <w:lang w:eastAsia="en-US"/>
    </w:rPr>
  </w:style>
  <w:style w:type="paragraph" w:styleId="Odstavecseseznamem">
    <w:name w:val="List Paragraph"/>
    <w:basedOn w:val="Normln"/>
    <w:uiPriority w:val="34"/>
    <w:qFormat/>
    <w:rsid w:val="00A64035"/>
    <w:pPr>
      <w:ind w:left="708"/>
    </w:pPr>
    <w:rPr>
      <w:rFonts w:ascii="Times New Roman" w:hAnsi="Times New Roman"/>
      <w:szCs w:val="24"/>
    </w:rPr>
  </w:style>
  <w:style w:type="character" w:customStyle="1" w:styleId="ZkladntextChar">
    <w:name w:val="Základní text Char"/>
    <w:link w:val="Zkladntext"/>
    <w:rsid w:val="00A64035"/>
    <w:rPr>
      <w:rFonts w:ascii="Arial" w:hAnsi="Arial"/>
      <w:b/>
      <w:sz w:val="28"/>
    </w:rPr>
  </w:style>
  <w:style w:type="character" w:customStyle="1" w:styleId="TextbublinyChar">
    <w:name w:val="Text bubliny Char"/>
    <w:link w:val="Textbubliny"/>
    <w:rsid w:val="00A64035"/>
    <w:rPr>
      <w:rFonts w:ascii="Tahoma" w:hAnsi="Tahoma" w:cs="Tahoma"/>
      <w:sz w:val="16"/>
      <w:szCs w:val="16"/>
    </w:rPr>
  </w:style>
  <w:style w:type="character" w:customStyle="1" w:styleId="ZhlavChar">
    <w:name w:val="Záhlaví Char"/>
    <w:link w:val="Zhlav"/>
    <w:rsid w:val="00A64035"/>
    <w:rPr>
      <w:rFonts w:ascii="Arial" w:hAnsi="Arial"/>
      <w:sz w:val="24"/>
    </w:rPr>
  </w:style>
  <w:style w:type="paragraph" w:styleId="Nzev">
    <w:name w:val="Title"/>
    <w:basedOn w:val="Normln"/>
    <w:next w:val="Normln"/>
    <w:link w:val="NzevChar"/>
    <w:qFormat/>
    <w:rsid w:val="00A64035"/>
    <w:pPr>
      <w:spacing w:before="240" w:after="60"/>
      <w:jc w:val="center"/>
      <w:outlineLvl w:val="0"/>
    </w:pPr>
    <w:rPr>
      <w:rFonts w:ascii="Cambria" w:hAnsi="Cambria"/>
      <w:b/>
      <w:bCs/>
      <w:kern w:val="28"/>
      <w:sz w:val="32"/>
      <w:szCs w:val="32"/>
      <w:lang w:val="x-none" w:eastAsia="x-none"/>
    </w:rPr>
  </w:style>
  <w:style w:type="character" w:customStyle="1" w:styleId="NzevChar">
    <w:name w:val="Název Char"/>
    <w:basedOn w:val="Standardnpsmoodstavce"/>
    <w:link w:val="Nzev"/>
    <w:rsid w:val="00A64035"/>
    <w:rPr>
      <w:rFonts w:ascii="Cambria" w:hAnsi="Cambria"/>
      <w:b/>
      <w:bCs/>
      <w:kern w:val="28"/>
      <w:sz w:val="32"/>
      <w:szCs w:val="32"/>
      <w:lang w:val="x-none" w:eastAsia="x-none"/>
    </w:rPr>
  </w:style>
  <w:style w:type="character" w:styleId="Odkaznakoment">
    <w:name w:val="annotation reference"/>
    <w:rsid w:val="00A64035"/>
    <w:rPr>
      <w:sz w:val="16"/>
      <w:szCs w:val="16"/>
    </w:rPr>
  </w:style>
  <w:style w:type="paragraph" w:styleId="Textkomente">
    <w:name w:val="annotation text"/>
    <w:basedOn w:val="Normln"/>
    <w:link w:val="TextkomenteChar"/>
    <w:rsid w:val="00A64035"/>
    <w:rPr>
      <w:sz w:val="20"/>
    </w:rPr>
  </w:style>
  <w:style w:type="character" w:customStyle="1" w:styleId="TextkomenteChar">
    <w:name w:val="Text komentáře Char"/>
    <w:basedOn w:val="Standardnpsmoodstavce"/>
    <w:link w:val="Textkomente"/>
    <w:rsid w:val="00A64035"/>
    <w:rPr>
      <w:rFonts w:ascii="Arial" w:hAnsi="Arial"/>
    </w:rPr>
  </w:style>
  <w:style w:type="paragraph" w:styleId="Pedmtkomente">
    <w:name w:val="annotation subject"/>
    <w:basedOn w:val="Textkomente"/>
    <w:next w:val="Textkomente"/>
    <w:link w:val="PedmtkomenteChar"/>
    <w:rsid w:val="00A64035"/>
    <w:rPr>
      <w:b/>
      <w:bCs/>
    </w:rPr>
  </w:style>
  <w:style w:type="character" w:customStyle="1" w:styleId="PedmtkomenteChar">
    <w:name w:val="Předmět komentáře Char"/>
    <w:basedOn w:val="TextkomenteChar"/>
    <w:link w:val="Pedmtkomente"/>
    <w:rsid w:val="00A64035"/>
    <w:rPr>
      <w:rFonts w:ascii="Arial" w:hAnsi="Arial"/>
      <w:b/>
      <w:bCs/>
    </w:rPr>
  </w:style>
  <w:style w:type="paragraph" w:customStyle="1" w:styleId="xl24">
    <w:name w:val="xl24"/>
    <w:basedOn w:val="Normln"/>
    <w:rsid w:val="00A6403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184F"/>
    <w:rPr>
      <w:rFonts w:ascii="Arial" w:hAnsi="Arial"/>
      <w:sz w:val="24"/>
    </w:rPr>
  </w:style>
  <w:style w:type="paragraph" w:styleId="Nadpis1">
    <w:name w:val="heading 1"/>
    <w:basedOn w:val="Normln"/>
    <w:next w:val="Normln"/>
    <w:qFormat/>
    <w:rsid w:val="0076184F"/>
    <w:pPr>
      <w:keepNext/>
      <w:pBdr>
        <w:bottom w:val="single" w:sz="4" w:space="1" w:color="auto"/>
      </w:pBdr>
      <w:jc w:val="center"/>
      <w:outlineLvl w:val="0"/>
    </w:pPr>
    <w:rPr>
      <w:sz w:val="28"/>
    </w:rPr>
  </w:style>
  <w:style w:type="paragraph" w:styleId="Nadpis2">
    <w:name w:val="heading 2"/>
    <w:basedOn w:val="Normln"/>
    <w:next w:val="Normln"/>
    <w:autoRedefine/>
    <w:qFormat/>
    <w:rsid w:val="0075074A"/>
    <w:pPr>
      <w:keepNext/>
      <w:spacing w:before="240" w:after="60"/>
      <w:outlineLvl w:val="1"/>
    </w:pPr>
    <w:rPr>
      <w:rFonts w:cs="Arial"/>
      <w:bCs/>
      <w:iCs/>
      <w:sz w:val="28"/>
      <w:szCs w:val="28"/>
    </w:rPr>
  </w:style>
  <w:style w:type="paragraph" w:styleId="Nadpis3">
    <w:name w:val="heading 3"/>
    <w:basedOn w:val="Normln"/>
    <w:next w:val="Normln"/>
    <w:link w:val="Nadpis3Char"/>
    <w:autoRedefine/>
    <w:unhideWhenUsed/>
    <w:qFormat/>
    <w:rsid w:val="0075074A"/>
    <w:pPr>
      <w:keepNext/>
      <w:numPr>
        <w:numId w:val="27"/>
      </w:numPr>
      <w:spacing w:before="240" w:after="60"/>
      <w:ind w:left="723"/>
      <w:outlineLvl w:val="2"/>
    </w:pPr>
    <w:rPr>
      <w:rFonts w:eastAsiaTheme="majorEastAsia" w:cs="Arial"/>
      <w:b/>
      <w:bCs/>
      <w:sz w:val="22"/>
      <w:szCs w:val="22"/>
    </w:rPr>
  </w:style>
  <w:style w:type="paragraph" w:styleId="Nadpis4">
    <w:name w:val="heading 4"/>
    <w:basedOn w:val="Normln"/>
    <w:next w:val="Normln"/>
    <w:link w:val="Nadpis4Char"/>
    <w:semiHidden/>
    <w:unhideWhenUsed/>
    <w:qFormat/>
    <w:rsid w:val="00A64035"/>
    <w:pPr>
      <w:keepNext/>
      <w:spacing w:before="240" w:after="60"/>
      <w:ind w:left="864" w:hanging="864"/>
      <w:outlineLvl w:val="3"/>
    </w:pPr>
    <w:rPr>
      <w:rFonts w:ascii="Calibri" w:hAnsi="Calibri"/>
      <w:b/>
      <w:bCs/>
      <w:sz w:val="28"/>
      <w:szCs w:val="28"/>
      <w:lang w:val="x-none" w:eastAsia="x-none"/>
    </w:rPr>
  </w:style>
  <w:style w:type="paragraph" w:styleId="Nadpis5">
    <w:name w:val="heading 5"/>
    <w:basedOn w:val="Normln"/>
    <w:next w:val="Normln"/>
    <w:link w:val="Nadpis5Char"/>
    <w:semiHidden/>
    <w:unhideWhenUsed/>
    <w:qFormat/>
    <w:rsid w:val="00A64035"/>
    <w:pPr>
      <w:spacing w:before="240" w:after="60"/>
      <w:ind w:left="1008" w:hanging="1008"/>
      <w:outlineLvl w:val="4"/>
    </w:pPr>
    <w:rPr>
      <w:rFonts w:ascii="Calibri" w:hAnsi="Calibri"/>
      <w:b/>
      <w:bCs/>
      <w:i/>
      <w:iCs/>
      <w:sz w:val="26"/>
      <w:szCs w:val="26"/>
      <w:lang w:val="x-none" w:eastAsia="x-none"/>
    </w:rPr>
  </w:style>
  <w:style w:type="paragraph" w:styleId="Nadpis6">
    <w:name w:val="heading 6"/>
    <w:basedOn w:val="Normln"/>
    <w:next w:val="Normln"/>
    <w:link w:val="Nadpis6Char"/>
    <w:semiHidden/>
    <w:unhideWhenUsed/>
    <w:qFormat/>
    <w:rsid w:val="00A64035"/>
    <w:pPr>
      <w:spacing w:before="240" w:after="60"/>
      <w:ind w:left="1152" w:hanging="1152"/>
      <w:outlineLvl w:val="5"/>
    </w:pPr>
    <w:rPr>
      <w:rFonts w:ascii="Calibri" w:hAnsi="Calibri"/>
      <w:b/>
      <w:bCs/>
      <w:sz w:val="22"/>
      <w:szCs w:val="22"/>
      <w:lang w:val="x-none" w:eastAsia="x-none"/>
    </w:rPr>
  </w:style>
  <w:style w:type="paragraph" w:styleId="Nadpis7">
    <w:name w:val="heading 7"/>
    <w:basedOn w:val="Normln"/>
    <w:next w:val="Normln"/>
    <w:link w:val="Nadpis7Char"/>
    <w:semiHidden/>
    <w:unhideWhenUsed/>
    <w:qFormat/>
    <w:rsid w:val="00A64035"/>
    <w:pPr>
      <w:spacing w:before="240" w:after="60"/>
      <w:ind w:left="1296" w:hanging="1296"/>
      <w:outlineLvl w:val="6"/>
    </w:pPr>
    <w:rPr>
      <w:rFonts w:ascii="Calibri" w:hAnsi="Calibri"/>
      <w:szCs w:val="24"/>
      <w:lang w:val="x-none" w:eastAsia="x-none"/>
    </w:rPr>
  </w:style>
  <w:style w:type="paragraph" w:styleId="Nadpis8">
    <w:name w:val="heading 8"/>
    <w:basedOn w:val="Normln"/>
    <w:next w:val="Normln"/>
    <w:qFormat/>
    <w:rsid w:val="0076184F"/>
    <w:pPr>
      <w:keepNext/>
      <w:tabs>
        <w:tab w:val="left" w:pos="-1560"/>
      </w:tabs>
      <w:jc w:val="both"/>
      <w:outlineLvl w:val="7"/>
    </w:pPr>
    <w:rPr>
      <w:rFonts w:ascii="Times New Roman" w:hAnsi="Times New Roman"/>
      <w:sz w:val="28"/>
    </w:rPr>
  </w:style>
  <w:style w:type="paragraph" w:styleId="Nadpis9">
    <w:name w:val="heading 9"/>
    <w:basedOn w:val="Normln"/>
    <w:next w:val="Normln"/>
    <w:link w:val="Nadpis9Char"/>
    <w:semiHidden/>
    <w:unhideWhenUsed/>
    <w:qFormat/>
    <w:rsid w:val="00A64035"/>
    <w:pPr>
      <w:spacing w:before="240" w:after="60"/>
      <w:ind w:left="1584" w:hanging="1584"/>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6184F"/>
    <w:pPr>
      <w:tabs>
        <w:tab w:val="left" w:pos="0"/>
        <w:tab w:val="left" w:pos="7371"/>
      </w:tabs>
    </w:pPr>
    <w:rPr>
      <w:b/>
      <w:sz w:val="28"/>
    </w:rPr>
  </w:style>
  <w:style w:type="table" w:styleId="Mkatabulky">
    <w:name w:val="Table Grid"/>
    <w:basedOn w:val="Normlntabulka"/>
    <w:rsid w:val="00761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basedOn w:val="Normln"/>
    <w:rsid w:val="0076184F"/>
    <w:pPr>
      <w:spacing w:after="160" w:line="240" w:lineRule="exact"/>
    </w:pPr>
    <w:rPr>
      <w:rFonts w:ascii="Verdana" w:hAnsi="Verdana"/>
      <w:sz w:val="20"/>
      <w:lang w:val="en-US" w:eastAsia="en-US"/>
    </w:rPr>
  </w:style>
  <w:style w:type="paragraph" w:styleId="Zhlav">
    <w:name w:val="header"/>
    <w:basedOn w:val="Normln"/>
    <w:link w:val="ZhlavChar"/>
    <w:rsid w:val="0076184F"/>
    <w:pPr>
      <w:tabs>
        <w:tab w:val="center" w:pos="4536"/>
        <w:tab w:val="right" w:pos="9072"/>
      </w:tabs>
    </w:pPr>
  </w:style>
  <w:style w:type="paragraph" w:styleId="Zkladntext3">
    <w:name w:val="Body Text 3"/>
    <w:basedOn w:val="Normln"/>
    <w:rsid w:val="002D1781"/>
    <w:pPr>
      <w:spacing w:after="120"/>
    </w:pPr>
    <w:rPr>
      <w:sz w:val="16"/>
      <w:szCs w:val="16"/>
    </w:rPr>
  </w:style>
  <w:style w:type="paragraph" w:styleId="Textbubliny">
    <w:name w:val="Balloon Text"/>
    <w:basedOn w:val="Normln"/>
    <w:link w:val="TextbublinyChar"/>
    <w:rsid w:val="002F1C1F"/>
    <w:rPr>
      <w:rFonts w:ascii="Tahoma" w:hAnsi="Tahoma" w:cs="Tahoma"/>
      <w:sz w:val="16"/>
      <w:szCs w:val="16"/>
    </w:rPr>
  </w:style>
  <w:style w:type="paragraph" w:styleId="Zpat">
    <w:name w:val="footer"/>
    <w:basedOn w:val="Normln"/>
    <w:link w:val="ZpatChar"/>
    <w:uiPriority w:val="99"/>
    <w:rsid w:val="00D66598"/>
    <w:pPr>
      <w:tabs>
        <w:tab w:val="center" w:pos="4536"/>
        <w:tab w:val="right" w:pos="9072"/>
      </w:tabs>
    </w:pPr>
  </w:style>
  <w:style w:type="character" w:customStyle="1" w:styleId="ZpatChar">
    <w:name w:val="Zápatí Char"/>
    <w:basedOn w:val="Standardnpsmoodstavce"/>
    <w:link w:val="Zpat"/>
    <w:uiPriority w:val="99"/>
    <w:rsid w:val="00D66598"/>
    <w:rPr>
      <w:rFonts w:ascii="Arial" w:hAnsi="Arial"/>
      <w:sz w:val="24"/>
    </w:rPr>
  </w:style>
  <w:style w:type="paragraph" w:styleId="Zkladntextodsazen">
    <w:name w:val="Body Text Indent"/>
    <w:basedOn w:val="Normln"/>
    <w:link w:val="ZkladntextodsazenChar"/>
    <w:rsid w:val="00705CF5"/>
    <w:pPr>
      <w:spacing w:after="120"/>
      <w:ind w:left="283"/>
    </w:pPr>
  </w:style>
  <w:style w:type="paragraph" w:styleId="Normlnweb">
    <w:name w:val="Normal (Web)"/>
    <w:basedOn w:val="Normln"/>
    <w:rsid w:val="0073072F"/>
    <w:pPr>
      <w:spacing w:before="100" w:beforeAutospacing="1" w:after="100" w:afterAutospacing="1"/>
    </w:pPr>
    <w:rPr>
      <w:rFonts w:ascii="Times New Roman" w:hAnsi="Times New Roman"/>
      <w:szCs w:val="24"/>
    </w:rPr>
  </w:style>
  <w:style w:type="character" w:customStyle="1" w:styleId="Nadpis3Char">
    <w:name w:val="Nadpis 3 Char"/>
    <w:basedOn w:val="Standardnpsmoodstavce"/>
    <w:link w:val="Nadpis3"/>
    <w:rsid w:val="0075074A"/>
    <w:rPr>
      <w:rFonts w:ascii="Arial" w:eastAsiaTheme="majorEastAsia" w:hAnsi="Arial" w:cs="Arial"/>
      <w:b/>
      <w:bCs/>
      <w:sz w:val="22"/>
      <w:szCs w:val="22"/>
    </w:rPr>
  </w:style>
  <w:style w:type="character" w:customStyle="1" w:styleId="Nadpis4Char">
    <w:name w:val="Nadpis 4 Char"/>
    <w:basedOn w:val="Standardnpsmoodstavce"/>
    <w:link w:val="Nadpis4"/>
    <w:semiHidden/>
    <w:rsid w:val="00A64035"/>
    <w:rPr>
      <w:rFonts w:ascii="Calibri" w:hAnsi="Calibri"/>
      <w:b/>
      <w:bCs/>
      <w:sz w:val="28"/>
      <w:szCs w:val="28"/>
      <w:lang w:val="x-none" w:eastAsia="x-none"/>
    </w:rPr>
  </w:style>
  <w:style w:type="character" w:customStyle="1" w:styleId="Nadpis5Char">
    <w:name w:val="Nadpis 5 Char"/>
    <w:basedOn w:val="Standardnpsmoodstavce"/>
    <w:link w:val="Nadpis5"/>
    <w:semiHidden/>
    <w:rsid w:val="00A64035"/>
    <w:rPr>
      <w:rFonts w:ascii="Calibri" w:hAnsi="Calibri"/>
      <w:b/>
      <w:bCs/>
      <w:i/>
      <w:iCs/>
      <w:sz w:val="26"/>
      <w:szCs w:val="26"/>
      <w:lang w:val="x-none" w:eastAsia="x-none"/>
    </w:rPr>
  </w:style>
  <w:style w:type="character" w:customStyle="1" w:styleId="Nadpis6Char">
    <w:name w:val="Nadpis 6 Char"/>
    <w:basedOn w:val="Standardnpsmoodstavce"/>
    <w:link w:val="Nadpis6"/>
    <w:semiHidden/>
    <w:rsid w:val="00A64035"/>
    <w:rPr>
      <w:rFonts w:ascii="Calibri" w:hAnsi="Calibri"/>
      <w:b/>
      <w:bCs/>
      <w:sz w:val="22"/>
      <w:szCs w:val="22"/>
      <w:lang w:val="x-none" w:eastAsia="x-none"/>
    </w:rPr>
  </w:style>
  <w:style w:type="character" w:customStyle="1" w:styleId="Nadpis7Char">
    <w:name w:val="Nadpis 7 Char"/>
    <w:basedOn w:val="Standardnpsmoodstavce"/>
    <w:link w:val="Nadpis7"/>
    <w:semiHidden/>
    <w:rsid w:val="00A64035"/>
    <w:rPr>
      <w:rFonts w:ascii="Calibri" w:hAnsi="Calibri"/>
      <w:sz w:val="24"/>
      <w:szCs w:val="24"/>
      <w:lang w:val="x-none" w:eastAsia="x-none"/>
    </w:rPr>
  </w:style>
  <w:style w:type="character" w:customStyle="1" w:styleId="Nadpis9Char">
    <w:name w:val="Nadpis 9 Char"/>
    <w:basedOn w:val="Standardnpsmoodstavce"/>
    <w:link w:val="Nadpis9"/>
    <w:semiHidden/>
    <w:rsid w:val="00A64035"/>
    <w:rPr>
      <w:rFonts w:ascii="Cambria" w:hAnsi="Cambria"/>
      <w:sz w:val="22"/>
      <w:szCs w:val="22"/>
      <w:lang w:val="x-none" w:eastAsia="x-none"/>
    </w:rPr>
  </w:style>
  <w:style w:type="paragraph" w:styleId="Titulek">
    <w:name w:val="caption"/>
    <w:basedOn w:val="Normln"/>
    <w:next w:val="Normln"/>
    <w:qFormat/>
    <w:rsid w:val="00A64035"/>
    <w:rPr>
      <w:rFonts w:ascii="Times New Roman" w:hAnsi="Times New Roman"/>
      <w:b/>
      <w:bCs/>
      <w:sz w:val="20"/>
    </w:rPr>
  </w:style>
  <w:style w:type="character" w:customStyle="1" w:styleId="ZkladntextodsazenChar">
    <w:name w:val="Základní text odsazený Char"/>
    <w:link w:val="Zkladntextodsazen"/>
    <w:rsid w:val="00A64035"/>
    <w:rPr>
      <w:rFonts w:ascii="Arial" w:hAnsi="Arial"/>
      <w:sz w:val="24"/>
    </w:rPr>
  </w:style>
  <w:style w:type="character" w:styleId="slostrnky">
    <w:name w:val="page number"/>
    <w:rsid w:val="00A64035"/>
  </w:style>
  <w:style w:type="character" w:customStyle="1" w:styleId="Char">
    <w:name w:val="Char"/>
    <w:rsid w:val="00A64035"/>
    <w:rPr>
      <w:rFonts w:ascii="Arial" w:hAnsi="Arial" w:cs="Arial"/>
      <w:b/>
      <w:bCs/>
      <w:kern w:val="32"/>
      <w:sz w:val="32"/>
      <w:szCs w:val="32"/>
      <w:lang w:val="cs-CZ" w:eastAsia="cs-CZ" w:bidi="ar-SA"/>
    </w:rPr>
  </w:style>
  <w:style w:type="paragraph" w:styleId="Textpoznpodarou">
    <w:name w:val="footnote text"/>
    <w:basedOn w:val="Normln"/>
    <w:link w:val="TextpoznpodarouChar"/>
    <w:rsid w:val="00A64035"/>
    <w:rPr>
      <w:rFonts w:ascii="Times New Roman" w:hAnsi="Times New Roman"/>
      <w:sz w:val="20"/>
    </w:rPr>
  </w:style>
  <w:style w:type="character" w:customStyle="1" w:styleId="TextpoznpodarouChar">
    <w:name w:val="Text pozn. pod čarou Char"/>
    <w:basedOn w:val="Standardnpsmoodstavce"/>
    <w:link w:val="Textpoznpodarou"/>
    <w:rsid w:val="00A64035"/>
  </w:style>
  <w:style w:type="character" w:styleId="Znakapoznpodarou">
    <w:name w:val="footnote reference"/>
    <w:rsid w:val="00A64035"/>
    <w:rPr>
      <w:vertAlign w:val="superscript"/>
    </w:rPr>
  </w:style>
  <w:style w:type="paragraph" w:styleId="Textvysvtlivek">
    <w:name w:val="endnote text"/>
    <w:basedOn w:val="Normln"/>
    <w:link w:val="TextvysvtlivekChar"/>
    <w:rsid w:val="00A64035"/>
    <w:rPr>
      <w:rFonts w:ascii="Times New Roman" w:hAnsi="Times New Roman"/>
      <w:sz w:val="20"/>
    </w:rPr>
  </w:style>
  <w:style w:type="character" w:customStyle="1" w:styleId="TextvysvtlivekChar">
    <w:name w:val="Text vysvětlivek Char"/>
    <w:basedOn w:val="Standardnpsmoodstavce"/>
    <w:link w:val="Textvysvtlivek"/>
    <w:rsid w:val="00A64035"/>
  </w:style>
  <w:style w:type="character" w:styleId="Odkaznavysvtlivky">
    <w:name w:val="endnote reference"/>
    <w:rsid w:val="00A64035"/>
    <w:rPr>
      <w:vertAlign w:val="superscript"/>
    </w:rPr>
  </w:style>
  <w:style w:type="paragraph" w:styleId="Zkladntext2">
    <w:name w:val="Body Text 2"/>
    <w:basedOn w:val="Normln"/>
    <w:link w:val="Zkladntext2Char"/>
    <w:rsid w:val="00A64035"/>
    <w:rPr>
      <w:rFonts w:ascii="Times New Roman" w:hAnsi="Times New Roman"/>
      <w:b/>
      <w:bCs/>
      <w:szCs w:val="24"/>
      <w:lang w:val="x-none" w:eastAsia="x-none"/>
    </w:rPr>
  </w:style>
  <w:style w:type="character" w:customStyle="1" w:styleId="Zkladntext2Char">
    <w:name w:val="Základní text 2 Char"/>
    <w:basedOn w:val="Standardnpsmoodstavce"/>
    <w:link w:val="Zkladntext2"/>
    <w:rsid w:val="00A64035"/>
    <w:rPr>
      <w:b/>
      <w:bCs/>
      <w:sz w:val="24"/>
      <w:szCs w:val="24"/>
      <w:lang w:val="x-none" w:eastAsia="x-none"/>
    </w:rPr>
  </w:style>
  <w:style w:type="character" w:styleId="Hypertextovodkaz">
    <w:name w:val="Hyperlink"/>
    <w:rsid w:val="00A64035"/>
    <w:rPr>
      <w:color w:val="0000FF"/>
      <w:u w:val="single"/>
    </w:rPr>
  </w:style>
  <w:style w:type="paragraph" w:customStyle="1" w:styleId="Odstavecseseznamem1">
    <w:name w:val="Odstavec se seznamem1"/>
    <w:basedOn w:val="Normln"/>
    <w:rsid w:val="00A64035"/>
    <w:pPr>
      <w:spacing w:line="276" w:lineRule="auto"/>
      <w:ind w:left="720"/>
      <w:contextualSpacing/>
    </w:pPr>
    <w:rPr>
      <w:rFonts w:ascii="Calibri" w:hAnsi="Calibri"/>
      <w:sz w:val="22"/>
      <w:szCs w:val="22"/>
      <w:lang w:eastAsia="en-US"/>
    </w:rPr>
  </w:style>
  <w:style w:type="paragraph" w:styleId="Odstavecseseznamem">
    <w:name w:val="List Paragraph"/>
    <w:basedOn w:val="Normln"/>
    <w:uiPriority w:val="34"/>
    <w:qFormat/>
    <w:rsid w:val="00A64035"/>
    <w:pPr>
      <w:ind w:left="708"/>
    </w:pPr>
    <w:rPr>
      <w:rFonts w:ascii="Times New Roman" w:hAnsi="Times New Roman"/>
      <w:szCs w:val="24"/>
    </w:rPr>
  </w:style>
  <w:style w:type="character" w:customStyle="1" w:styleId="ZkladntextChar">
    <w:name w:val="Základní text Char"/>
    <w:link w:val="Zkladntext"/>
    <w:rsid w:val="00A64035"/>
    <w:rPr>
      <w:rFonts w:ascii="Arial" w:hAnsi="Arial"/>
      <w:b/>
      <w:sz w:val="28"/>
    </w:rPr>
  </w:style>
  <w:style w:type="character" w:customStyle="1" w:styleId="TextbublinyChar">
    <w:name w:val="Text bubliny Char"/>
    <w:link w:val="Textbubliny"/>
    <w:rsid w:val="00A64035"/>
    <w:rPr>
      <w:rFonts w:ascii="Tahoma" w:hAnsi="Tahoma" w:cs="Tahoma"/>
      <w:sz w:val="16"/>
      <w:szCs w:val="16"/>
    </w:rPr>
  </w:style>
  <w:style w:type="character" w:customStyle="1" w:styleId="ZhlavChar">
    <w:name w:val="Záhlaví Char"/>
    <w:link w:val="Zhlav"/>
    <w:rsid w:val="00A64035"/>
    <w:rPr>
      <w:rFonts w:ascii="Arial" w:hAnsi="Arial"/>
      <w:sz w:val="24"/>
    </w:rPr>
  </w:style>
  <w:style w:type="paragraph" w:styleId="Nzev">
    <w:name w:val="Title"/>
    <w:basedOn w:val="Normln"/>
    <w:next w:val="Normln"/>
    <w:link w:val="NzevChar"/>
    <w:qFormat/>
    <w:rsid w:val="00A64035"/>
    <w:pPr>
      <w:spacing w:before="240" w:after="60"/>
      <w:jc w:val="center"/>
      <w:outlineLvl w:val="0"/>
    </w:pPr>
    <w:rPr>
      <w:rFonts w:ascii="Cambria" w:hAnsi="Cambria"/>
      <w:b/>
      <w:bCs/>
      <w:kern w:val="28"/>
      <w:sz w:val="32"/>
      <w:szCs w:val="32"/>
      <w:lang w:val="x-none" w:eastAsia="x-none"/>
    </w:rPr>
  </w:style>
  <w:style w:type="character" w:customStyle="1" w:styleId="NzevChar">
    <w:name w:val="Název Char"/>
    <w:basedOn w:val="Standardnpsmoodstavce"/>
    <w:link w:val="Nzev"/>
    <w:rsid w:val="00A64035"/>
    <w:rPr>
      <w:rFonts w:ascii="Cambria" w:hAnsi="Cambria"/>
      <w:b/>
      <w:bCs/>
      <w:kern w:val="28"/>
      <w:sz w:val="32"/>
      <w:szCs w:val="32"/>
      <w:lang w:val="x-none" w:eastAsia="x-none"/>
    </w:rPr>
  </w:style>
  <w:style w:type="character" w:styleId="Odkaznakoment">
    <w:name w:val="annotation reference"/>
    <w:rsid w:val="00A64035"/>
    <w:rPr>
      <w:sz w:val="16"/>
      <w:szCs w:val="16"/>
    </w:rPr>
  </w:style>
  <w:style w:type="paragraph" w:styleId="Textkomente">
    <w:name w:val="annotation text"/>
    <w:basedOn w:val="Normln"/>
    <w:link w:val="TextkomenteChar"/>
    <w:rsid w:val="00A64035"/>
    <w:rPr>
      <w:sz w:val="20"/>
    </w:rPr>
  </w:style>
  <w:style w:type="character" w:customStyle="1" w:styleId="TextkomenteChar">
    <w:name w:val="Text komentáře Char"/>
    <w:basedOn w:val="Standardnpsmoodstavce"/>
    <w:link w:val="Textkomente"/>
    <w:rsid w:val="00A64035"/>
    <w:rPr>
      <w:rFonts w:ascii="Arial" w:hAnsi="Arial"/>
    </w:rPr>
  </w:style>
  <w:style w:type="paragraph" w:styleId="Pedmtkomente">
    <w:name w:val="annotation subject"/>
    <w:basedOn w:val="Textkomente"/>
    <w:next w:val="Textkomente"/>
    <w:link w:val="PedmtkomenteChar"/>
    <w:rsid w:val="00A64035"/>
    <w:rPr>
      <w:b/>
      <w:bCs/>
    </w:rPr>
  </w:style>
  <w:style w:type="character" w:customStyle="1" w:styleId="PedmtkomenteChar">
    <w:name w:val="Předmět komentáře Char"/>
    <w:basedOn w:val="TextkomenteChar"/>
    <w:link w:val="Pedmtkomente"/>
    <w:rsid w:val="00A64035"/>
    <w:rPr>
      <w:rFonts w:ascii="Arial" w:hAnsi="Arial"/>
      <w:b/>
      <w:bCs/>
    </w:rPr>
  </w:style>
  <w:style w:type="paragraph" w:customStyle="1" w:styleId="xl24">
    <w:name w:val="xl24"/>
    <w:basedOn w:val="Normln"/>
    <w:rsid w:val="00A6403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5505">
      <w:bodyDiv w:val="1"/>
      <w:marLeft w:val="0"/>
      <w:marRight w:val="0"/>
      <w:marTop w:val="0"/>
      <w:marBottom w:val="0"/>
      <w:divBdr>
        <w:top w:val="none" w:sz="0" w:space="0" w:color="auto"/>
        <w:left w:val="none" w:sz="0" w:space="0" w:color="auto"/>
        <w:bottom w:val="none" w:sz="0" w:space="0" w:color="auto"/>
        <w:right w:val="none" w:sz="0" w:space="0" w:color="auto"/>
      </w:divBdr>
    </w:div>
    <w:div w:id="174346868">
      <w:bodyDiv w:val="1"/>
      <w:marLeft w:val="0"/>
      <w:marRight w:val="0"/>
      <w:marTop w:val="0"/>
      <w:marBottom w:val="0"/>
      <w:divBdr>
        <w:top w:val="none" w:sz="0" w:space="0" w:color="auto"/>
        <w:left w:val="none" w:sz="0" w:space="0" w:color="auto"/>
        <w:bottom w:val="none" w:sz="0" w:space="0" w:color="auto"/>
        <w:right w:val="none" w:sz="0" w:space="0" w:color="auto"/>
      </w:divBdr>
    </w:div>
    <w:div w:id="198444763">
      <w:bodyDiv w:val="1"/>
      <w:marLeft w:val="0"/>
      <w:marRight w:val="0"/>
      <w:marTop w:val="0"/>
      <w:marBottom w:val="0"/>
      <w:divBdr>
        <w:top w:val="none" w:sz="0" w:space="0" w:color="auto"/>
        <w:left w:val="none" w:sz="0" w:space="0" w:color="auto"/>
        <w:bottom w:val="none" w:sz="0" w:space="0" w:color="auto"/>
        <w:right w:val="none" w:sz="0" w:space="0" w:color="auto"/>
      </w:divBdr>
    </w:div>
    <w:div w:id="256056940">
      <w:bodyDiv w:val="1"/>
      <w:marLeft w:val="0"/>
      <w:marRight w:val="0"/>
      <w:marTop w:val="0"/>
      <w:marBottom w:val="0"/>
      <w:divBdr>
        <w:top w:val="none" w:sz="0" w:space="0" w:color="auto"/>
        <w:left w:val="none" w:sz="0" w:space="0" w:color="auto"/>
        <w:bottom w:val="none" w:sz="0" w:space="0" w:color="auto"/>
        <w:right w:val="none" w:sz="0" w:space="0" w:color="auto"/>
      </w:divBdr>
    </w:div>
    <w:div w:id="263465975">
      <w:bodyDiv w:val="1"/>
      <w:marLeft w:val="0"/>
      <w:marRight w:val="0"/>
      <w:marTop w:val="0"/>
      <w:marBottom w:val="0"/>
      <w:divBdr>
        <w:top w:val="none" w:sz="0" w:space="0" w:color="auto"/>
        <w:left w:val="none" w:sz="0" w:space="0" w:color="auto"/>
        <w:bottom w:val="none" w:sz="0" w:space="0" w:color="auto"/>
        <w:right w:val="none" w:sz="0" w:space="0" w:color="auto"/>
      </w:divBdr>
    </w:div>
    <w:div w:id="298801138">
      <w:bodyDiv w:val="1"/>
      <w:marLeft w:val="0"/>
      <w:marRight w:val="0"/>
      <w:marTop w:val="0"/>
      <w:marBottom w:val="0"/>
      <w:divBdr>
        <w:top w:val="none" w:sz="0" w:space="0" w:color="auto"/>
        <w:left w:val="none" w:sz="0" w:space="0" w:color="auto"/>
        <w:bottom w:val="none" w:sz="0" w:space="0" w:color="auto"/>
        <w:right w:val="none" w:sz="0" w:space="0" w:color="auto"/>
      </w:divBdr>
    </w:div>
    <w:div w:id="461729497">
      <w:bodyDiv w:val="1"/>
      <w:marLeft w:val="0"/>
      <w:marRight w:val="0"/>
      <w:marTop w:val="0"/>
      <w:marBottom w:val="0"/>
      <w:divBdr>
        <w:top w:val="none" w:sz="0" w:space="0" w:color="auto"/>
        <w:left w:val="none" w:sz="0" w:space="0" w:color="auto"/>
        <w:bottom w:val="none" w:sz="0" w:space="0" w:color="auto"/>
        <w:right w:val="none" w:sz="0" w:space="0" w:color="auto"/>
      </w:divBdr>
    </w:div>
    <w:div w:id="557977270">
      <w:bodyDiv w:val="1"/>
      <w:marLeft w:val="0"/>
      <w:marRight w:val="0"/>
      <w:marTop w:val="0"/>
      <w:marBottom w:val="0"/>
      <w:divBdr>
        <w:top w:val="none" w:sz="0" w:space="0" w:color="auto"/>
        <w:left w:val="none" w:sz="0" w:space="0" w:color="auto"/>
        <w:bottom w:val="none" w:sz="0" w:space="0" w:color="auto"/>
        <w:right w:val="none" w:sz="0" w:space="0" w:color="auto"/>
      </w:divBdr>
    </w:div>
    <w:div w:id="672102970">
      <w:bodyDiv w:val="1"/>
      <w:marLeft w:val="0"/>
      <w:marRight w:val="0"/>
      <w:marTop w:val="0"/>
      <w:marBottom w:val="0"/>
      <w:divBdr>
        <w:top w:val="none" w:sz="0" w:space="0" w:color="auto"/>
        <w:left w:val="none" w:sz="0" w:space="0" w:color="auto"/>
        <w:bottom w:val="none" w:sz="0" w:space="0" w:color="auto"/>
        <w:right w:val="none" w:sz="0" w:space="0" w:color="auto"/>
      </w:divBdr>
    </w:div>
    <w:div w:id="734476800">
      <w:bodyDiv w:val="1"/>
      <w:marLeft w:val="0"/>
      <w:marRight w:val="0"/>
      <w:marTop w:val="0"/>
      <w:marBottom w:val="0"/>
      <w:divBdr>
        <w:top w:val="none" w:sz="0" w:space="0" w:color="auto"/>
        <w:left w:val="none" w:sz="0" w:space="0" w:color="auto"/>
        <w:bottom w:val="none" w:sz="0" w:space="0" w:color="auto"/>
        <w:right w:val="none" w:sz="0" w:space="0" w:color="auto"/>
      </w:divBdr>
    </w:div>
    <w:div w:id="920912258">
      <w:bodyDiv w:val="1"/>
      <w:marLeft w:val="0"/>
      <w:marRight w:val="0"/>
      <w:marTop w:val="0"/>
      <w:marBottom w:val="0"/>
      <w:divBdr>
        <w:top w:val="none" w:sz="0" w:space="0" w:color="auto"/>
        <w:left w:val="none" w:sz="0" w:space="0" w:color="auto"/>
        <w:bottom w:val="none" w:sz="0" w:space="0" w:color="auto"/>
        <w:right w:val="none" w:sz="0" w:space="0" w:color="auto"/>
      </w:divBdr>
    </w:div>
    <w:div w:id="1066802741">
      <w:bodyDiv w:val="1"/>
      <w:marLeft w:val="0"/>
      <w:marRight w:val="0"/>
      <w:marTop w:val="0"/>
      <w:marBottom w:val="0"/>
      <w:divBdr>
        <w:top w:val="none" w:sz="0" w:space="0" w:color="auto"/>
        <w:left w:val="none" w:sz="0" w:space="0" w:color="auto"/>
        <w:bottom w:val="none" w:sz="0" w:space="0" w:color="auto"/>
        <w:right w:val="none" w:sz="0" w:space="0" w:color="auto"/>
      </w:divBdr>
    </w:div>
    <w:div w:id="1120804689">
      <w:bodyDiv w:val="1"/>
      <w:marLeft w:val="0"/>
      <w:marRight w:val="0"/>
      <w:marTop w:val="0"/>
      <w:marBottom w:val="0"/>
      <w:divBdr>
        <w:top w:val="none" w:sz="0" w:space="0" w:color="auto"/>
        <w:left w:val="none" w:sz="0" w:space="0" w:color="auto"/>
        <w:bottom w:val="none" w:sz="0" w:space="0" w:color="auto"/>
        <w:right w:val="none" w:sz="0" w:space="0" w:color="auto"/>
      </w:divBdr>
    </w:div>
    <w:div w:id="1127428401">
      <w:bodyDiv w:val="1"/>
      <w:marLeft w:val="0"/>
      <w:marRight w:val="0"/>
      <w:marTop w:val="0"/>
      <w:marBottom w:val="0"/>
      <w:divBdr>
        <w:top w:val="none" w:sz="0" w:space="0" w:color="auto"/>
        <w:left w:val="none" w:sz="0" w:space="0" w:color="auto"/>
        <w:bottom w:val="none" w:sz="0" w:space="0" w:color="auto"/>
        <w:right w:val="none" w:sz="0" w:space="0" w:color="auto"/>
      </w:divBdr>
    </w:div>
    <w:div w:id="1163740857">
      <w:bodyDiv w:val="1"/>
      <w:marLeft w:val="0"/>
      <w:marRight w:val="0"/>
      <w:marTop w:val="0"/>
      <w:marBottom w:val="0"/>
      <w:divBdr>
        <w:top w:val="none" w:sz="0" w:space="0" w:color="auto"/>
        <w:left w:val="none" w:sz="0" w:space="0" w:color="auto"/>
        <w:bottom w:val="none" w:sz="0" w:space="0" w:color="auto"/>
        <w:right w:val="none" w:sz="0" w:space="0" w:color="auto"/>
      </w:divBdr>
    </w:div>
    <w:div w:id="1164780616">
      <w:bodyDiv w:val="1"/>
      <w:marLeft w:val="0"/>
      <w:marRight w:val="0"/>
      <w:marTop w:val="0"/>
      <w:marBottom w:val="0"/>
      <w:divBdr>
        <w:top w:val="none" w:sz="0" w:space="0" w:color="auto"/>
        <w:left w:val="none" w:sz="0" w:space="0" w:color="auto"/>
        <w:bottom w:val="none" w:sz="0" w:space="0" w:color="auto"/>
        <w:right w:val="none" w:sz="0" w:space="0" w:color="auto"/>
      </w:divBdr>
    </w:div>
    <w:div w:id="1211769301">
      <w:bodyDiv w:val="1"/>
      <w:marLeft w:val="0"/>
      <w:marRight w:val="0"/>
      <w:marTop w:val="0"/>
      <w:marBottom w:val="0"/>
      <w:divBdr>
        <w:top w:val="none" w:sz="0" w:space="0" w:color="auto"/>
        <w:left w:val="none" w:sz="0" w:space="0" w:color="auto"/>
        <w:bottom w:val="none" w:sz="0" w:space="0" w:color="auto"/>
        <w:right w:val="none" w:sz="0" w:space="0" w:color="auto"/>
      </w:divBdr>
    </w:div>
    <w:div w:id="1266112717">
      <w:bodyDiv w:val="1"/>
      <w:marLeft w:val="0"/>
      <w:marRight w:val="0"/>
      <w:marTop w:val="0"/>
      <w:marBottom w:val="0"/>
      <w:divBdr>
        <w:top w:val="none" w:sz="0" w:space="0" w:color="auto"/>
        <w:left w:val="none" w:sz="0" w:space="0" w:color="auto"/>
        <w:bottom w:val="none" w:sz="0" w:space="0" w:color="auto"/>
        <w:right w:val="none" w:sz="0" w:space="0" w:color="auto"/>
      </w:divBdr>
    </w:div>
    <w:div w:id="1437099119">
      <w:bodyDiv w:val="1"/>
      <w:marLeft w:val="0"/>
      <w:marRight w:val="0"/>
      <w:marTop w:val="0"/>
      <w:marBottom w:val="0"/>
      <w:divBdr>
        <w:top w:val="none" w:sz="0" w:space="0" w:color="auto"/>
        <w:left w:val="none" w:sz="0" w:space="0" w:color="auto"/>
        <w:bottom w:val="none" w:sz="0" w:space="0" w:color="auto"/>
        <w:right w:val="none" w:sz="0" w:space="0" w:color="auto"/>
      </w:divBdr>
    </w:div>
    <w:div w:id="1469279712">
      <w:bodyDiv w:val="1"/>
      <w:marLeft w:val="0"/>
      <w:marRight w:val="0"/>
      <w:marTop w:val="0"/>
      <w:marBottom w:val="0"/>
      <w:divBdr>
        <w:top w:val="none" w:sz="0" w:space="0" w:color="auto"/>
        <w:left w:val="none" w:sz="0" w:space="0" w:color="auto"/>
        <w:bottom w:val="none" w:sz="0" w:space="0" w:color="auto"/>
        <w:right w:val="none" w:sz="0" w:space="0" w:color="auto"/>
      </w:divBdr>
    </w:div>
    <w:div w:id="1583760079">
      <w:bodyDiv w:val="1"/>
      <w:marLeft w:val="0"/>
      <w:marRight w:val="0"/>
      <w:marTop w:val="0"/>
      <w:marBottom w:val="0"/>
      <w:divBdr>
        <w:top w:val="none" w:sz="0" w:space="0" w:color="auto"/>
        <w:left w:val="none" w:sz="0" w:space="0" w:color="auto"/>
        <w:bottom w:val="none" w:sz="0" w:space="0" w:color="auto"/>
        <w:right w:val="none" w:sz="0" w:space="0" w:color="auto"/>
      </w:divBdr>
    </w:div>
    <w:div w:id="1678114829">
      <w:bodyDiv w:val="1"/>
      <w:marLeft w:val="0"/>
      <w:marRight w:val="0"/>
      <w:marTop w:val="0"/>
      <w:marBottom w:val="0"/>
      <w:divBdr>
        <w:top w:val="none" w:sz="0" w:space="0" w:color="auto"/>
        <w:left w:val="none" w:sz="0" w:space="0" w:color="auto"/>
        <w:bottom w:val="none" w:sz="0" w:space="0" w:color="auto"/>
        <w:right w:val="none" w:sz="0" w:space="0" w:color="auto"/>
      </w:divBdr>
    </w:div>
    <w:div w:id="1750425442">
      <w:bodyDiv w:val="1"/>
      <w:marLeft w:val="0"/>
      <w:marRight w:val="0"/>
      <w:marTop w:val="0"/>
      <w:marBottom w:val="0"/>
      <w:divBdr>
        <w:top w:val="none" w:sz="0" w:space="0" w:color="auto"/>
        <w:left w:val="none" w:sz="0" w:space="0" w:color="auto"/>
        <w:bottom w:val="none" w:sz="0" w:space="0" w:color="auto"/>
        <w:right w:val="none" w:sz="0" w:space="0" w:color="auto"/>
      </w:divBdr>
    </w:div>
    <w:div w:id="1862277833">
      <w:bodyDiv w:val="1"/>
      <w:marLeft w:val="0"/>
      <w:marRight w:val="0"/>
      <w:marTop w:val="0"/>
      <w:marBottom w:val="0"/>
      <w:divBdr>
        <w:top w:val="none" w:sz="0" w:space="0" w:color="auto"/>
        <w:left w:val="none" w:sz="0" w:space="0" w:color="auto"/>
        <w:bottom w:val="none" w:sz="0" w:space="0" w:color="auto"/>
        <w:right w:val="none" w:sz="0" w:space="0" w:color="auto"/>
      </w:divBdr>
    </w:div>
    <w:div w:id="1880699317">
      <w:bodyDiv w:val="1"/>
      <w:marLeft w:val="0"/>
      <w:marRight w:val="0"/>
      <w:marTop w:val="0"/>
      <w:marBottom w:val="0"/>
      <w:divBdr>
        <w:top w:val="none" w:sz="0" w:space="0" w:color="auto"/>
        <w:left w:val="none" w:sz="0" w:space="0" w:color="auto"/>
        <w:bottom w:val="none" w:sz="0" w:space="0" w:color="auto"/>
        <w:right w:val="none" w:sz="0" w:space="0" w:color="auto"/>
      </w:divBdr>
    </w:div>
    <w:div w:id="1951081943">
      <w:bodyDiv w:val="1"/>
      <w:marLeft w:val="0"/>
      <w:marRight w:val="0"/>
      <w:marTop w:val="0"/>
      <w:marBottom w:val="0"/>
      <w:divBdr>
        <w:top w:val="none" w:sz="0" w:space="0" w:color="auto"/>
        <w:left w:val="none" w:sz="0" w:space="0" w:color="auto"/>
        <w:bottom w:val="none" w:sz="0" w:space="0" w:color="auto"/>
        <w:right w:val="none" w:sz="0" w:space="0" w:color="auto"/>
      </w:divBdr>
    </w:div>
    <w:div w:id="209165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image" Target="media/image8.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List_aplikace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99"/>
            </a:pPr>
            <a:r>
              <a:rPr lang="en-US" sz="1299" b="0"/>
              <a:t>Vývoj počtu nezaměstnaných hlášených na ÚP</a:t>
            </a:r>
          </a:p>
        </c:rich>
      </c:tx>
      <c:overlay val="0"/>
    </c:title>
    <c:autoTitleDeleted val="0"/>
    <c:plotArea>
      <c:layout/>
      <c:lineChart>
        <c:grouping val="standard"/>
        <c:varyColors val="0"/>
        <c:ser>
          <c:idx val="0"/>
          <c:order val="0"/>
          <c:tx>
            <c:v>2010</c:v>
          </c:tx>
          <c:marker>
            <c:symbol val="none"/>
          </c:marker>
          <c:val>
            <c:numRef>
              <c:f>List1!$B$3:$M$3</c:f>
              <c:numCache>
                <c:formatCode>General</c:formatCode>
                <c:ptCount val="12"/>
                <c:pt idx="0">
                  <c:v>9664</c:v>
                </c:pt>
                <c:pt idx="1">
                  <c:v>9811</c:v>
                </c:pt>
                <c:pt idx="2">
                  <c:v>9775</c:v>
                </c:pt>
                <c:pt idx="3">
                  <c:v>9309</c:v>
                </c:pt>
                <c:pt idx="4">
                  <c:v>9027</c:v>
                </c:pt>
                <c:pt idx="5">
                  <c:v>8863</c:v>
                </c:pt>
                <c:pt idx="6">
                  <c:v>8845</c:v>
                </c:pt>
                <c:pt idx="7">
                  <c:v>8742</c:v>
                </c:pt>
                <c:pt idx="8">
                  <c:v>8676</c:v>
                </c:pt>
                <c:pt idx="9">
                  <c:v>8537</c:v>
                </c:pt>
                <c:pt idx="10">
                  <c:v>8627</c:v>
                </c:pt>
                <c:pt idx="11">
                  <c:v>9246</c:v>
                </c:pt>
              </c:numCache>
            </c:numRef>
          </c:val>
          <c:smooth val="0"/>
        </c:ser>
        <c:ser>
          <c:idx val="1"/>
          <c:order val="1"/>
          <c:tx>
            <c:v>2011</c:v>
          </c:tx>
          <c:marker>
            <c:symbol val="none"/>
          </c:marker>
          <c:val>
            <c:numRef>
              <c:f>List1!$B$4:$M$4</c:f>
              <c:numCache>
                <c:formatCode>General</c:formatCode>
                <c:ptCount val="12"/>
                <c:pt idx="0">
                  <c:v>9420</c:v>
                </c:pt>
                <c:pt idx="1">
                  <c:v>9313</c:v>
                </c:pt>
                <c:pt idx="2">
                  <c:v>9042</c:v>
                </c:pt>
                <c:pt idx="3">
                  <c:v>8783</c:v>
                </c:pt>
                <c:pt idx="4">
                  <c:v>8565</c:v>
                </c:pt>
                <c:pt idx="5">
                  <c:v>8475</c:v>
                </c:pt>
                <c:pt idx="6">
                  <c:v>8577</c:v>
                </c:pt>
                <c:pt idx="7">
                  <c:v>8614</c:v>
                </c:pt>
                <c:pt idx="8">
                  <c:v>8702</c:v>
                </c:pt>
                <c:pt idx="9">
                  <c:v>8776</c:v>
                </c:pt>
                <c:pt idx="10">
                  <c:v>8798</c:v>
                </c:pt>
                <c:pt idx="11">
                  <c:v>9029</c:v>
                </c:pt>
              </c:numCache>
            </c:numRef>
          </c:val>
          <c:smooth val="0"/>
        </c:ser>
        <c:dLbls>
          <c:showLegendKey val="0"/>
          <c:showVal val="0"/>
          <c:showCatName val="0"/>
          <c:showSerName val="0"/>
          <c:showPercent val="0"/>
          <c:showBubbleSize val="0"/>
        </c:dLbls>
        <c:marker val="1"/>
        <c:smooth val="0"/>
        <c:axId val="32959872"/>
        <c:axId val="32962048"/>
      </c:lineChart>
      <c:catAx>
        <c:axId val="32959872"/>
        <c:scaling>
          <c:orientation val="minMax"/>
        </c:scaling>
        <c:delete val="0"/>
        <c:axPos val="b"/>
        <c:title>
          <c:tx>
            <c:rich>
              <a:bodyPr/>
              <a:lstStyle/>
              <a:p>
                <a:pPr>
                  <a:defRPr sz="999" b="0" i="0" u="none" strike="noStrike" baseline="0">
                    <a:solidFill>
                      <a:srgbClr val="000000"/>
                    </a:solidFill>
                    <a:latin typeface="Calibri"/>
                    <a:ea typeface="Calibri"/>
                    <a:cs typeface="Calibri"/>
                  </a:defRPr>
                </a:pPr>
                <a:r>
                  <a:rPr lang="cs-CZ"/>
                  <a:t>měsíce</a:t>
                </a:r>
              </a:p>
            </c:rich>
          </c:tx>
          <c:overlay val="0"/>
        </c:title>
        <c:numFmt formatCode="General" sourceLinked="1"/>
        <c:majorTickMark val="out"/>
        <c:minorTickMark val="none"/>
        <c:tickLblPos val="nextTo"/>
        <c:crossAx val="32962048"/>
        <c:crosses val="autoZero"/>
        <c:auto val="1"/>
        <c:lblAlgn val="ctr"/>
        <c:lblOffset val="100"/>
        <c:noMultiLvlLbl val="0"/>
      </c:catAx>
      <c:valAx>
        <c:axId val="32962048"/>
        <c:scaling>
          <c:orientation val="minMax"/>
        </c:scaling>
        <c:delete val="0"/>
        <c:axPos val="l"/>
        <c:majorGridlines/>
        <c:title>
          <c:tx>
            <c:rich>
              <a:bodyPr/>
              <a:lstStyle/>
              <a:p>
                <a:pPr>
                  <a:defRPr sz="999" b="0" i="0" u="none" strike="noStrike" baseline="0">
                    <a:solidFill>
                      <a:srgbClr val="000000"/>
                    </a:solidFill>
                    <a:latin typeface="Calibri"/>
                    <a:ea typeface="Calibri"/>
                    <a:cs typeface="Calibri"/>
                  </a:defRPr>
                </a:pPr>
                <a:r>
                  <a:rPr lang="cs-CZ"/>
                  <a:t>počet uchazečů o zaměstnání</a:t>
                </a:r>
              </a:p>
            </c:rich>
          </c:tx>
          <c:overlay val="0"/>
        </c:title>
        <c:numFmt formatCode="General" sourceLinked="1"/>
        <c:majorTickMark val="out"/>
        <c:minorTickMark val="none"/>
        <c:tickLblPos val="nextTo"/>
        <c:crossAx val="329598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99" b="0"/>
            </a:pPr>
            <a:r>
              <a:rPr lang="en-US" sz="1299" b="0"/>
              <a:t>Vývoj počtu volných pracovních míst hlášených na ÚP</a:t>
            </a:r>
          </a:p>
        </c:rich>
      </c:tx>
      <c:overlay val="0"/>
    </c:title>
    <c:autoTitleDeleted val="0"/>
    <c:plotArea>
      <c:layout/>
      <c:lineChart>
        <c:grouping val="standard"/>
        <c:varyColors val="0"/>
        <c:ser>
          <c:idx val="0"/>
          <c:order val="0"/>
          <c:tx>
            <c:v>2010</c:v>
          </c:tx>
          <c:marker>
            <c:symbol val="none"/>
          </c:marker>
          <c:val>
            <c:numRef>
              <c:f>List1!$B$29:$M$29</c:f>
              <c:numCache>
                <c:formatCode>General</c:formatCode>
                <c:ptCount val="12"/>
                <c:pt idx="0">
                  <c:v>221</c:v>
                </c:pt>
                <c:pt idx="1">
                  <c:v>229</c:v>
                </c:pt>
                <c:pt idx="2">
                  <c:v>243</c:v>
                </c:pt>
                <c:pt idx="3">
                  <c:v>280</c:v>
                </c:pt>
                <c:pt idx="4">
                  <c:v>315</c:v>
                </c:pt>
                <c:pt idx="5">
                  <c:v>294</c:v>
                </c:pt>
                <c:pt idx="6">
                  <c:v>355</c:v>
                </c:pt>
                <c:pt idx="7">
                  <c:v>360</c:v>
                </c:pt>
                <c:pt idx="8">
                  <c:v>409</c:v>
                </c:pt>
                <c:pt idx="9">
                  <c:v>407</c:v>
                </c:pt>
                <c:pt idx="10">
                  <c:v>338</c:v>
                </c:pt>
                <c:pt idx="11">
                  <c:v>325</c:v>
                </c:pt>
              </c:numCache>
            </c:numRef>
          </c:val>
          <c:smooth val="0"/>
        </c:ser>
        <c:ser>
          <c:idx val="1"/>
          <c:order val="1"/>
          <c:tx>
            <c:v>2011</c:v>
          </c:tx>
          <c:marker>
            <c:symbol val="none"/>
          </c:marker>
          <c:val>
            <c:numRef>
              <c:f>List1!$B$30:$M$30</c:f>
              <c:numCache>
                <c:formatCode>General</c:formatCode>
                <c:ptCount val="12"/>
                <c:pt idx="0">
                  <c:v>319</c:v>
                </c:pt>
                <c:pt idx="1">
                  <c:v>309</c:v>
                </c:pt>
                <c:pt idx="2">
                  <c:v>387</c:v>
                </c:pt>
                <c:pt idx="3">
                  <c:v>421</c:v>
                </c:pt>
                <c:pt idx="4">
                  <c:v>442</c:v>
                </c:pt>
                <c:pt idx="5">
                  <c:v>405</c:v>
                </c:pt>
                <c:pt idx="6">
                  <c:v>377</c:v>
                </c:pt>
                <c:pt idx="7">
                  <c:v>402</c:v>
                </c:pt>
                <c:pt idx="8">
                  <c:v>353</c:v>
                </c:pt>
                <c:pt idx="9">
                  <c:v>350</c:v>
                </c:pt>
                <c:pt idx="10">
                  <c:v>303</c:v>
                </c:pt>
                <c:pt idx="11">
                  <c:v>298</c:v>
                </c:pt>
              </c:numCache>
            </c:numRef>
          </c:val>
          <c:smooth val="0"/>
        </c:ser>
        <c:dLbls>
          <c:showLegendKey val="0"/>
          <c:showVal val="0"/>
          <c:showCatName val="0"/>
          <c:showSerName val="0"/>
          <c:showPercent val="0"/>
          <c:showBubbleSize val="0"/>
        </c:dLbls>
        <c:marker val="1"/>
        <c:smooth val="0"/>
        <c:axId val="33180288"/>
        <c:axId val="33190656"/>
      </c:lineChart>
      <c:catAx>
        <c:axId val="33180288"/>
        <c:scaling>
          <c:orientation val="minMax"/>
        </c:scaling>
        <c:delete val="0"/>
        <c:axPos val="b"/>
        <c:title>
          <c:tx>
            <c:rich>
              <a:bodyPr/>
              <a:lstStyle/>
              <a:p>
                <a:pPr>
                  <a:defRPr sz="999" b="0" i="0" u="none" strike="noStrike" baseline="0">
                    <a:solidFill>
                      <a:srgbClr val="000000"/>
                    </a:solidFill>
                    <a:latin typeface="Calibri"/>
                    <a:ea typeface="Calibri"/>
                    <a:cs typeface="Calibri"/>
                  </a:defRPr>
                </a:pPr>
                <a:r>
                  <a:rPr lang="cs-CZ"/>
                  <a:t>měsíce</a:t>
                </a:r>
              </a:p>
            </c:rich>
          </c:tx>
          <c:overlay val="0"/>
        </c:title>
        <c:numFmt formatCode="General" sourceLinked="1"/>
        <c:majorTickMark val="out"/>
        <c:minorTickMark val="none"/>
        <c:tickLblPos val="nextTo"/>
        <c:crossAx val="33190656"/>
        <c:crosses val="autoZero"/>
        <c:auto val="1"/>
        <c:lblAlgn val="ctr"/>
        <c:lblOffset val="100"/>
        <c:noMultiLvlLbl val="0"/>
      </c:catAx>
      <c:valAx>
        <c:axId val="33190656"/>
        <c:scaling>
          <c:orientation val="minMax"/>
        </c:scaling>
        <c:delete val="0"/>
        <c:axPos val="l"/>
        <c:majorGridlines/>
        <c:title>
          <c:tx>
            <c:rich>
              <a:bodyPr/>
              <a:lstStyle/>
              <a:p>
                <a:pPr>
                  <a:defRPr sz="999" b="0" i="0" u="none" strike="noStrike" baseline="0">
                    <a:solidFill>
                      <a:srgbClr val="000000"/>
                    </a:solidFill>
                    <a:latin typeface="Calibri"/>
                    <a:ea typeface="Calibri"/>
                    <a:cs typeface="Calibri"/>
                  </a:defRPr>
                </a:pPr>
                <a:r>
                  <a:rPr lang="cs-CZ"/>
                  <a:t>počet volných pracovních míst</a:t>
                </a:r>
              </a:p>
            </c:rich>
          </c:tx>
          <c:overlay val="0"/>
        </c:title>
        <c:numFmt formatCode="General" sourceLinked="1"/>
        <c:majorTickMark val="out"/>
        <c:minorTickMark val="none"/>
        <c:tickLblPos val="nextTo"/>
        <c:crossAx val="331802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BE5A-98B6-4005-BFEF-EBC9CE11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10025</Words>
  <Characters>59153</Characters>
  <Application>Microsoft Office Word</Application>
  <DocSecurity>0</DocSecurity>
  <Lines>492</Lines>
  <Paragraphs>138</Paragraphs>
  <ScaleCrop>false</ScaleCrop>
  <HeadingPairs>
    <vt:vector size="2" baseType="variant">
      <vt:variant>
        <vt:lpstr>Název</vt:lpstr>
      </vt:variant>
      <vt:variant>
        <vt:i4>1</vt:i4>
      </vt:variant>
    </vt:vector>
  </HeadingPairs>
  <TitlesOfParts>
    <vt:vector size="1" baseType="lpstr">
      <vt:lpstr>Zasedání Zastupitelstva Ústeckého kraje</vt:lpstr>
    </vt:vector>
  </TitlesOfParts>
  <Company>Krajský úřad Ústeckého kraje</Company>
  <LinksUpToDate>false</LinksUpToDate>
  <CharactersWithSpaces>69040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Ústeckého kraje</dc:title>
  <dc:creator>Tobiasova.m</dc:creator>
  <cp:lastModifiedBy>Mikovcová Dagmar</cp:lastModifiedBy>
  <cp:revision>3</cp:revision>
  <cp:lastPrinted>2012-04-05T11:28:00Z</cp:lastPrinted>
  <dcterms:created xsi:type="dcterms:W3CDTF">2012-06-01T11:14:00Z</dcterms:created>
  <dcterms:modified xsi:type="dcterms:W3CDTF">2012-07-04T06:18:00Z</dcterms:modified>
</cp:coreProperties>
</file>